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eastAsia="zh-CN"/>
        </w:rPr>
        <w:t>《高铁变电所二次系统运行与维护》课程开发</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w:t>
      </w:r>
      <w:r>
        <w:rPr>
          <w:rFonts w:hint="eastAsia" w:hAnsi="宋体" w:cs="宋体"/>
          <w:bCs/>
          <w:sz w:val="30"/>
          <w:szCs w:val="30"/>
          <w:lang w:val="en-US" w:eastAsia="zh-CN"/>
        </w:rPr>
        <w:t>ZY</w:t>
      </w:r>
      <w:r>
        <w:rPr>
          <w:rFonts w:hint="eastAsia" w:hAnsi="宋体" w:cs="宋体"/>
          <w:bCs/>
          <w:sz w:val="30"/>
          <w:szCs w:val="30"/>
        </w:rPr>
        <w:t>-20200</w:t>
      </w:r>
      <w:r>
        <w:rPr>
          <w:rFonts w:hint="eastAsia" w:hAnsi="宋体" w:cs="宋体"/>
          <w:bCs/>
          <w:sz w:val="30"/>
          <w:szCs w:val="30"/>
          <w:lang w:val="en-US" w:eastAsia="zh-CN"/>
        </w:rPr>
        <w:t>22</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2020</w:t>
      </w:r>
      <w:r>
        <w:rPr>
          <w:rFonts w:hint="eastAsia" w:hAnsi="宋体" w:cs="宋体"/>
          <w:bCs/>
          <w:sz w:val="30"/>
          <w:szCs w:val="30"/>
          <w:lang w:val="zh-CN"/>
        </w:rPr>
        <w:t>年</w:t>
      </w:r>
      <w:r>
        <w:rPr>
          <w:rFonts w:hint="eastAsia" w:hAnsi="宋体" w:cs="宋体"/>
          <w:bCs/>
          <w:sz w:val="30"/>
          <w:szCs w:val="30"/>
        </w:rPr>
        <w:t>11</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24</w:t>
      </w:r>
    </w:p>
    <w:p>
      <w:pPr>
        <w:pStyle w:val="14"/>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26</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2"/>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ind w:firstLine="720" w:firstLineChars="300"/>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lang w:eastAsia="zh-CN"/>
        </w:rPr>
        <w:t>《</w:t>
      </w:r>
      <w:r>
        <w:rPr>
          <w:rFonts w:hint="eastAsia" w:hAnsi="宋体" w:cs="宋体"/>
          <w:bCs/>
          <w:sz w:val="24"/>
          <w:szCs w:val="24"/>
          <w:u w:val="single"/>
          <w:lang w:eastAsia="zh-CN"/>
        </w:rPr>
        <w:t>高铁变电所二次系统运行与维护》课程开发</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8"/>
        <w:snapToGrid w:val="0"/>
        <w:spacing w:line="360" w:lineRule="auto"/>
        <w:ind w:firstLine="441" w:firstLineChars="183"/>
        <w:rPr>
          <w:rFonts w:hint="default" w:ascii="宋体" w:hAnsi="宋体" w:eastAsia="宋体" w:cs="宋体"/>
          <w:b w:val="0"/>
          <w:bCs/>
          <w:sz w:val="24"/>
          <w:szCs w:val="24"/>
          <w:lang w:val="en-US" w:eastAsia="zh-CN"/>
        </w:rPr>
      </w:pPr>
      <w:r>
        <w:rPr>
          <w:rFonts w:hint="eastAsia" w:ascii="宋体" w:hAnsi="宋体" w:cs="宋体"/>
          <w:b/>
          <w:sz w:val="24"/>
          <w:szCs w:val="24"/>
        </w:rPr>
        <w:t>一、招标编号：</w:t>
      </w:r>
      <w:r>
        <w:rPr>
          <w:rFonts w:hint="eastAsia" w:ascii="宋体" w:hAnsi="宋体" w:cs="宋体"/>
          <w:b w:val="0"/>
          <w:bCs/>
          <w:sz w:val="24"/>
          <w:szCs w:val="24"/>
          <w:lang w:val="en-US" w:eastAsia="zh-CN"/>
        </w:rPr>
        <w:t>TZY</w:t>
      </w:r>
      <w:r>
        <w:rPr>
          <w:rFonts w:hint="eastAsia" w:hAnsi="宋体" w:cs="宋体"/>
          <w:b w:val="0"/>
          <w:bCs/>
          <w:sz w:val="24"/>
          <w:szCs w:val="24"/>
        </w:rPr>
        <w:t>-2020</w:t>
      </w:r>
      <w:r>
        <w:rPr>
          <w:rFonts w:hint="eastAsia" w:hAnsi="宋体" w:cs="宋体"/>
          <w:b w:val="0"/>
          <w:bCs/>
          <w:sz w:val="24"/>
          <w:szCs w:val="24"/>
          <w:lang w:val="en-US" w:eastAsia="zh-CN"/>
        </w:rPr>
        <w:t>022</w:t>
      </w:r>
    </w:p>
    <w:p>
      <w:pPr>
        <w:pStyle w:val="8"/>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二、招标项目：</w:t>
      </w:r>
      <w:r>
        <w:rPr>
          <w:rFonts w:hint="eastAsia" w:ascii="宋体" w:hAnsi="宋体" w:cs="宋体"/>
          <w:b/>
          <w:sz w:val="24"/>
          <w:szCs w:val="24"/>
          <w:lang w:eastAsia="zh-CN"/>
        </w:rPr>
        <w:t>《</w:t>
      </w:r>
      <w:r>
        <w:rPr>
          <w:rFonts w:hint="eastAsia" w:hAnsi="宋体" w:cs="宋体"/>
          <w:bCs/>
          <w:sz w:val="24"/>
          <w:szCs w:val="24"/>
          <w:lang w:eastAsia="zh-CN"/>
        </w:rPr>
        <w:t>高铁变电所二次系统运行与维护》课程开发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snapToGrid w:val="0"/>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投标人应为在中华人民共和国境内注册取得营业执照和税务登记证的独立法人；具有良好的商业信誉和健全的财务会计制度；具有履行合同所必需的设备和专业技术能力；有依法缴纳税收和社会保障资金的良好记录；企业法人营业执照已通过本年度年审；且所投产品在其经营范围内。</w:t>
      </w:r>
    </w:p>
    <w:p>
      <w:pPr>
        <w:snapToGrid w:val="0"/>
        <w:spacing w:line="360" w:lineRule="auto"/>
        <w:ind w:firstLine="480" w:firstLineChars="200"/>
        <w:rPr>
          <w:rFonts w:hAnsi="宋体" w:cs="宋体"/>
          <w:sz w:val="24"/>
          <w:szCs w:val="24"/>
        </w:rPr>
      </w:pPr>
      <w:r>
        <w:rPr>
          <w:rFonts w:hint="eastAsia" w:hAnsi="宋体" w:cs="宋体"/>
          <w:sz w:val="24"/>
          <w:szCs w:val="24"/>
        </w:rPr>
        <w:t>2、投标人不是制造商的，应提供制造商针对本项目的授权。</w:t>
      </w:r>
    </w:p>
    <w:p>
      <w:pPr>
        <w:snapToGrid w:val="0"/>
        <w:spacing w:line="360" w:lineRule="auto"/>
        <w:ind w:firstLine="480" w:firstLineChars="200"/>
        <w:rPr>
          <w:rFonts w:hAnsi="宋体" w:cs="宋体"/>
          <w:b/>
          <w:bCs/>
          <w:sz w:val="24"/>
          <w:szCs w:val="24"/>
        </w:rPr>
      </w:pPr>
      <w:r>
        <w:rPr>
          <w:rFonts w:hint="eastAsia" w:hAnsi="宋体" w:cs="宋体"/>
          <w:sz w:val="24"/>
          <w:szCs w:val="24"/>
        </w:rPr>
        <w:t>3、具有良好的商业信誉和健全的财务会计制度，参加政府采购活动前三年内未被列入“信用中国”网站(www.creditchina.gov.cn )失信被执行人、重大税收违法案件当事人、政府采购严重违法失信行为记录名单和“中国政府采购”网站（www.ccgp.gov.cn）政府采购严重违法失信行为记录名单（以递交文件截止当日查询结果为准）。</w:t>
      </w:r>
    </w:p>
    <w:p>
      <w:pPr>
        <w:snapToGrid w:val="0"/>
        <w:spacing w:line="360" w:lineRule="auto"/>
        <w:ind w:firstLine="480" w:firstLineChars="200"/>
        <w:rPr>
          <w:rFonts w:hAnsi="宋体" w:cs="宋体"/>
          <w:sz w:val="24"/>
          <w:szCs w:val="24"/>
        </w:rPr>
      </w:pPr>
      <w:r>
        <w:rPr>
          <w:rFonts w:hint="eastAsia" w:hAnsi="宋体" w:cs="宋体"/>
          <w:sz w:val="24"/>
          <w:szCs w:val="24"/>
        </w:rPr>
        <w:t>4、投标人应遵守有关的国家法律、法令、条例和有关招标制度。一旦参加投标，则应承担相关法律责任。</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sz w:val="24"/>
          <w:szCs w:val="24"/>
        </w:rPr>
        <w:t>2020年</w:t>
      </w:r>
      <w:r>
        <w:rPr>
          <w:rFonts w:hint="eastAsia" w:hAnsi="宋体" w:cs="宋体"/>
          <w:bCs/>
          <w:sz w:val="24"/>
          <w:szCs w:val="24"/>
          <w:lang w:val="en-US" w:eastAsia="zh-CN"/>
        </w:rPr>
        <w:t>12</w:t>
      </w:r>
      <w:r>
        <w:rPr>
          <w:rFonts w:hint="eastAsia" w:hAnsi="宋体" w:cs="宋体"/>
          <w:bCs/>
          <w:sz w:val="24"/>
          <w:szCs w:val="24"/>
        </w:rPr>
        <w:t>月</w:t>
      </w:r>
      <w:r>
        <w:rPr>
          <w:rFonts w:hint="eastAsia" w:hAnsi="宋体" w:cs="宋体"/>
          <w:bCs/>
          <w:sz w:val="24"/>
          <w:szCs w:val="24"/>
          <w:lang w:val="en-US" w:eastAsia="zh-CN"/>
        </w:rPr>
        <w:t>8</w:t>
      </w:r>
      <w:r>
        <w:rPr>
          <w:rFonts w:hint="eastAsia" w:hAnsi="宋体" w:cs="宋体"/>
          <w:bCs/>
          <w:sz w:val="24"/>
          <w:szCs w:val="24"/>
        </w:rPr>
        <w:t>日</w:t>
      </w:r>
      <w:r>
        <w:rPr>
          <w:rFonts w:hint="eastAsia" w:hAnsi="宋体" w:cs="宋体"/>
          <w:bCs/>
          <w:sz w:val="24"/>
          <w:szCs w:val="24"/>
          <w:lang w:val="en-US" w:eastAsia="zh-CN"/>
        </w:rPr>
        <w:t>10:00</w:t>
      </w:r>
      <w:r>
        <w:rPr>
          <w:rFonts w:hint="eastAsia" w:hAnsi="宋体" w:cs="宋体"/>
          <w:sz w:val="24"/>
          <w:szCs w:val="24"/>
        </w:rPr>
        <w:t>（北京时间）。</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ascii="宋体" w:hAnsi="宋体" w:cs="宋体"/>
          <w:sz w:val="24"/>
          <w:szCs w:val="24"/>
        </w:rPr>
        <w:t>。</w:t>
      </w:r>
    </w:p>
    <w:p>
      <w:pPr>
        <w:pStyle w:val="54"/>
        <w:snapToGrid w:val="0"/>
        <w:ind w:firstLine="479" w:firstLineChars="199"/>
        <w:rPr>
          <w:rFonts w:hAnsi="宋体" w:cs="宋体"/>
          <w:b/>
          <w:sz w:val="24"/>
          <w:szCs w:val="24"/>
        </w:rPr>
      </w:pPr>
      <w:r>
        <w:rPr>
          <w:rFonts w:hint="eastAsia" w:hAnsi="宋体" w:cs="宋体"/>
          <w:b/>
          <w:sz w:val="24"/>
          <w:szCs w:val="24"/>
        </w:rPr>
        <w:t>八、联系方式</w:t>
      </w:r>
    </w:p>
    <w:p>
      <w:pPr>
        <w:pStyle w:val="54"/>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4"/>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4"/>
        <w:snapToGrid w:val="0"/>
        <w:ind w:firstLine="919" w:firstLineChars="383"/>
        <w:rPr>
          <w:rFonts w:hAnsi="宋体" w:cs="宋体"/>
          <w:sz w:val="24"/>
        </w:rPr>
      </w:pPr>
      <w:r>
        <w:rPr>
          <w:rFonts w:hint="eastAsia" w:hAnsi="宋体" w:cs="宋体"/>
          <w:sz w:val="24"/>
        </w:rPr>
        <w:t xml:space="preserve">联系人：陈老师   </w:t>
      </w:r>
      <w:r>
        <w:rPr>
          <w:rFonts w:hint="eastAsia" w:hAnsi="宋体" w:cs="宋体"/>
          <w:sz w:val="24"/>
          <w:lang w:eastAsia="zh-CN"/>
        </w:rPr>
        <w:t>唐</w:t>
      </w:r>
      <w:r>
        <w:rPr>
          <w:rFonts w:hint="eastAsia" w:hAnsi="宋体" w:cs="宋体"/>
          <w:sz w:val="24"/>
        </w:rPr>
        <w:t>老师</w:t>
      </w:r>
    </w:p>
    <w:p>
      <w:pPr>
        <w:pStyle w:val="54"/>
        <w:snapToGrid w:val="0"/>
        <w:ind w:firstLine="919" w:firstLineChars="383"/>
        <w:rPr>
          <w:rFonts w:hint="eastAsia" w:hAnsi="宋体" w:cs="宋体"/>
          <w:sz w:val="24"/>
        </w:rPr>
      </w:pPr>
      <w:r>
        <w:rPr>
          <w:rFonts w:hint="eastAsia" w:hAnsi="宋体" w:cs="宋体"/>
          <w:sz w:val="24"/>
        </w:rPr>
        <w:t>联系电话：028-68939924</w:t>
      </w:r>
    </w:p>
    <w:p>
      <w:pPr>
        <w:pStyle w:val="54"/>
        <w:snapToGrid w:val="0"/>
        <w:ind w:firstLine="919" w:firstLineChars="383"/>
        <w:rPr>
          <w:rFonts w:hint="default" w:hAnsi="宋体" w:cs="宋体"/>
          <w:sz w:val="24"/>
          <w:lang w:val="en-US"/>
        </w:rPr>
      </w:pPr>
      <w:r>
        <w:rPr>
          <w:rFonts w:hint="eastAsia" w:hAnsi="宋体" w:cs="宋体"/>
          <w:sz w:val="24"/>
        </w:rPr>
        <w:t xml:space="preserve">          028-68939</w:t>
      </w:r>
      <w:r>
        <w:rPr>
          <w:rFonts w:hint="eastAsia" w:hAnsi="宋体" w:cs="宋体"/>
          <w:sz w:val="24"/>
          <w:lang w:val="en-US" w:eastAsia="zh-CN"/>
        </w:rPr>
        <w:t>838</w:t>
      </w:r>
    </w:p>
    <w:p>
      <w:pPr>
        <w:pStyle w:val="54"/>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2"/>
        <w:snapToGrid w:val="0"/>
        <w:spacing w:before="0" w:after="0" w:line="360" w:lineRule="auto"/>
        <w:jc w:val="center"/>
        <w:rPr>
          <w:rFonts w:hAnsi="宋体" w:cs="宋体"/>
          <w:sz w:val="30"/>
          <w:szCs w:val="30"/>
        </w:rPr>
      </w:pPr>
      <w:bookmarkStart w:id="5" w:name="_Toc213397009"/>
      <w:bookmarkStart w:id="6" w:name="_Toc213396759"/>
      <w:bookmarkStart w:id="7" w:name="_Toc213396945"/>
      <w:bookmarkStart w:id="8" w:name="_Toc217446031"/>
      <w:bookmarkStart w:id="9" w:name="_Toc358883242"/>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3"/>
        <w:snapToGrid w:val="0"/>
        <w:spacing w:before="0" w:after="0" w:line="360" w:lineRule="auto"/>
        <w:jc w:val="center"/>
        <w:rPr>
          <w:rFonts w:ascii="宋体" w:hAnsi="宋体" w:eastAsia="宋体" w:cs="宋体"/>
          <w:sz w:val="30"/>
          <w:szCs w:val="30"/>
        </w:rPr>
      </w:pPr>
      <w:bookmarkStart w:id="11" w:name="_Toc213397010"/>
      <w:bookmarkStart w:id="12" w:name="_Toc213496268"/>
      <w:bookmarkStart w:id="13" w:name="_Toc217446032"/>
      <w:bookmarkStart w:id="14" w:name="_Toc213396760"/>
      <w:bookmarkStart w:id="15" w:name="_Toc213396946"/>
      <w:bookmarkStart w:id="16" w:name="_Toc18972703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6"/>
              <w:snapToGrid w:val="0"/>
              <w:spacing w:line="360" w:lineRule="auto"/>
              <w:jc w:val="center"/>
              <w:rPr>
                <w:lang w:val="zh-CN"/>
              </w:rPr>
            </w:pPr>
            <w:r>
              <w:rPr>
                <w:rFonts w:hint="eastAsia"/>
                <w:lang w:val="zh-CN"/>
              </w:rPr>
              <w:t xml:space="preserve">序号 </w:t>
            </w:r>
          </w:p>
        </w:tc>
        <w:tc>
          <w:tcPr>
            <w:tcW w:w="1916" w:type="dxa"/>
            <w:vAlign w:val="center"/>
          </w:tcPr>
          <w:p>
            <w:pPr>
              <w:pStyle w:val="56"/>
              <w:snapToGrid w:val="0"/>
              <w:spacing w:line="360" w:lineRule="auto"/>
              <w:jc w:val="center"/>
              <w:rPr>
                <w:lang w:val="zh-CN"/>
              </w:rPr>
            </w:pPr>
            <w:r>
              <w:rPr>
                <w:rFonts w:hint="eastAsia"/>
                <w:lang w:val="zh-CN"/>
              </w:rPr>
              <w:t xml:space="preserve">应知事项 </w:t>
            </w:r>
          </w:p>
        </w:tc>
        <w:tc>
          <w:tcPr>
            <w:tcW w:w="6819" w:type="dxa"/>
            <w:vAlign w:val="center"/>
          </w:tcPr>
          <w:p>
            <w:pPr>
              <w:pStyle w:val="56"/>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56"/>
              <w:snapToGrid w:val="0"/>
              <w:spacing w:line="360" w:lineRule="auto"/>
              <w:jc w:val="center"/>
            </w:pPr>
            <w:r>
              <w:rPr>
                <w:rFonts w:hint="eastAsia"/>
              </w:rPr>
              <w:t>1</w:t>
            </w:r>
          </w:p>
        </w:tc>
        <w:tc>
          <w:tcPr>
            <w:tcW w:w="1916" w:type="dxa"/>
            <w:vAlign w:val="center"/>
          </w:tcPr>
          <w:p>
            <w:pPr>
              <w:pStyle w:val="56"/>
              <w:snapToGrid w:val="0"/>
              <w:spacing w:line="360" w:lineRule="auto"/>
              <w:jc w:val="center"/>
              <w:rPr>
                <w:lang w:val="zh-CN"/>
              </w:rPr>
            </w:pPr>
            <w:r>
              <w:rPr>
                <w:rFonts w:hint="eastAsia"/>
                <w:lang w:val="zh-CN"/>
              </w:rPr>
              <w:t>采购人</w:t>
            </w:r>
          </w:p>
        </w:tc>
        <w:tc>
          <w:tcPr>
            <w:tcW w:w="6819" w:type="dxa"/>
            <w:vAlign w:val="center"/>
          </w:tcPr>
          <w:p>
            <w:pPr>
              <w:pStyle w:val="54"/>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6"/>
              <w:snapToGrid w:val="0"/>
              <w:spacing w:line="360" w:lineRule="auto"/>
              <w:ind w:firstLine="240" w:firstLineChars="100"/>
              <w:rPr>
                <w:lang w:val="zh-CN"/>
              </w:rPr>
            </w:pPr>
            <w:r>
              <w:rPr>
                <w:rFonts w:hint="eastAsia"/>
                <w:lang w:val="zh-CN"/>
              </w:rPr>
              <w:t>地    址：</w:t>
            </w:r>
            <w:r>
              <w:rPr>
                <w:rFonts w:hint="eastAsia"/>
              </w:rPr>
              <w:t>四川成都郫县安德镇彭温路399号</w:t>
            </w:r>
          </w:p>
          <w:p>
            <w:pPr>
              <w:pStyle w:val="56"/>
              <w:snapToGrid w:val="0"/>
              <w:spacing w:line="360" w:lineRule="auto"/>
              <w:ind w:firstLine="240" w:firstLineChars="100"/>
              <w:rPr>
                <w:lang w:val="zh-CN"/>
              </w:rPr>
            </w:pPr>
            <w:r>
              <w:rPr>
                <w:rFonts w:hint="eastAsia"/>
                <w:lang w:val="zh-CN"/>
              </w:rPr>
              <w:t>联 系 人：</w:t>
            </w:r>
            <w:r>
              <w:rPr>
                <w:rFonts w:hint="eastAsia"/>
              </w:rPr>
              <w:t>陈老师</w:t>
            </w:r>
          </w:p>
          <w:p>
            <w:pPr>
              <w:pStyle w:val="56"/>
              <w:snapToGrid w:val="0"/>
              <w:spacing w:line="360" w:lineRule="auto"/>
              <w:ind w:firstLine="240" w:firstLineChars="100"/>
              <w:rPr>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pPr>
            <w:r>
              <w:rPr>
                <w:rFonts w:hint="eastAsia"/>
              </w:rPr>
              <w:t>2</w:t>
            </w:r>
          </w:p>
        </w:tc>
        <w:tc>
          <w:tcPr>
            <w:tcW w:w="1916" w:type="dxa"/>
            <w:vAlign w:val="center"/>
          </w:tcPr>
          <w:p>
            <w:pPr>
              <w:pStyle w:val="56"/>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6"/>
              <w:snapToGrid w:val="0"/>
              <w:spacing w:line="360" w:lineRule="auto"/>
              <w:ind w:firstLine="120" w:firstLineChars="50"/>
              <w:rPr>
                <w:lang w:val="zh-CN"/>
              </w:rPr>
            </w:pPr>
            <w:r>
              <w:rPr>
                <w:rFonts w:hint="eastAsia" w:cs="宋体"/>
                <w:bCs/>
                <w:sz w:val="24"/>
                <w:szCs w:val="24"/>
                <w:lang w:eastAsia="zh-CN"/>
              </w:rPr>
              <w:t>《</w:t>
            </w:r>
            <w:r>
              <w:rPr>
                <w:rFonts w:hint="eastAsia" w:hAnsi="宋体" w:cs="宋体"/>
                <w:bCs/>
                <w:sz w:val="24"/>
                <w:szCs w:val="24"/>
                <w:lang w:eastAsia="zh-CN"/>
              </w:rPr>
              <w:t>高铁变电所二次系统运行与维护</w:t>
            </w:r>
            <w:r>
              <w:rPr>
                <w:rFonts w:hint="eastAsia" w:cs="宋体"/>
                <w:bCs/>
                <w:sz w:val="24"/>
                <w:szCs w:val="24"/>
                <w:lang w:eastAsia="zh-CN"/>
              </w:rPr>
              <w:t>》课程开发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6"/>
              <w:snapToGrid w:val="0"/>
              <w:spacing w:line="360" w:lineRule="auto"/>
              <w:jc w:val="center"/>
            </w:pPr>
            <w:r>
              <w:rPr>
                <w:rFonts w:hint="eastAsia"/>
              </w:rPr>
              <w:t>3</w:t>
            </w:r>
          </w:p>
        </w:tc>
        <w:tc>
          <w:tcPr>
            <w:tcW w:w="1916" w:type="dxa"/>
            <w:vAlign w:val="center"/>
          </w:tcPr>
          <w:p>
            <w:pPr>
              <w:pStyle w:val="56"/>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6"/>
              <w:snapToGrid w:val="0"/>
              <w:spacing w:line="360" w:lineRule="auto"/>
              <w:ind w:firstLine="240" w:firstLineChars="100"/>
              <w:rPr>
                <w:rFonts w:hint="eastAsia" w:eastAsia="宋体"/>
                <w:lang w:val="en-US" w:eastAsia="zh-CN"/>
              </w:rPr>
            </w:pPr>
            <w:r>
              <w:rPr>
                <w:rFonts w:hint="eastAsia"/>
              </w:rPr>
              <w:t>TZY-202002</w:t>
            </w:r>
            <w:r>
              <w:rPr>
                <w:rFonts w:hint="eastAsia"/>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pPr>
            <w:r>
              <w:rPr>
                <w:rFonts w:hint="eastAsia"/>
              </w:rPr>
              <w:t>4</w:t>
            </w:r>
          </w:p>
        </w:tc>
        <w:tc>
          <w:tcPr>
            <w:tcW w:w="1916" w:type="dxa"/>
            <w:vAlign w:val="center"/>
          </w:tcPr>
          <w:p>
            <w:pPr>
              <w:pStyle w:val="56"/>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6"/>
              <w:snapToGrid w:val="0"/>
              <w:spacing w:line="360" w:lineRule="auto"/>
              <w:ind w:firstLine="240" w:firstLineChars="100"/>
              <w:rPr>
                <w:lang w:val="zh-CN"/>
              </w:rPr>
            </w:pPr>
            <w:r>
              <w:rPr>
                <w:rFonts w:hint="eastAsia"/>
                <w:lang w:val="zh-CN"/>
              </w:rPr>
              <w:t>自筹资金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5</w:t>
            </w:r>
          </w:p>
        </w:tc>
        <w:tc>
          <w:tcPr>
            <w:tcW w:w="1916" w:type="dxa"/>
            <w:vAlign w:val="center"/>
          </w:tcPr>
          <w:p>
            <w:pPr>
              <w:pStyle w:val="56"/>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6"/>
              <w:snapToGrid w:val="0"/>
              <w:spacing w:line="360" w:lineRule="auto"/>
              <w:ind w:firstLine="240" w:firstLineChars="100"/>
              <w:rPr>
                <w:lang w:val="zh-CN"/>
              </w:rPr>
            </w:pPr>
            <w:r>
              <w:rPr>
                <w:rFonts w:hint="eastAsia"/>
                <w:lang w:val="en-US" w:eastAsia="zh-CN"/>
              </w:rPr>
              <w:t>40</w:t>
            </w:r>
            <w: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6"/>
              <w:snapToGrid w:val="0"/>
              <w:spacing w:line="360" w:lineRule="auto"/>
              <w:jc w:val="center"/>
            </w:pPr>
            <w:r>
              <w:rPr>
                <w:rFonts w:hint="eastAsia"/>
              </w:rPr>
              <w:t>6</w:t>
            </w:r>
          </w:p>
        </w:tc>
        <w:tc>
          <w:tcPr>
            <w:tcW w:w="1916" w:type="dxa"/>
            <w:vAlign w:val="center"/>
          </w:tcPr>
          <w:p>
            <w:pPr>
              <w:pStyle w:val="56"/>
              <w:snapToGrid w:val="0"/>
              <w:spacing w:line="360" w:lineRule="auto"/>
              <w:jc w:val="center"/>
              <w:rPr>
                <w:lang w:val="zh-CN"/>
              </w:rPr>
            </w:pPr>
            <w:r>
              <w:rPr>
                <w:rFonts w:hint="eastAsia"/>
                <w:lang w:val="zh-CN"/>
              </w:rPr>
              <w:t>构成招标文件的其他文件</w:t>
            </w:r>
          </w:p>
        </w:tc>
        <w:tc>
          <w:tcPr>
            <w:tcW w:w="6819" w:type="dxa"/>
            <w:vAlign w:val="center"/>
          </w:tcPr>
          <w:p>
            <w:pPr>
              <w:pStyle w:val="56"/>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7</w:t>
            </w:r>
          </w:p>
        </w:tc>
        <w:tc>
          <w:tcPr>
            <w:tcW w:w="1916" w:type="dxa"/>
            <w:vAlign w:val="center"/>
          </w:tcPr>
          <w:p>
            <w:pPr>
              <w:pStyle w:val="56"/>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6"/>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8</w:t>
            </w:r>
          </w:p>
        </w:tc>
        <w:tc>
          <w:tcPr>
            <w:tcW w:w="1916" w:type="dxa"/>
            <w:vAlign w:val="center"/>
          </w:tcPr>
          <w:p>
            <w:pPr>
              <w:pStyle w:val="56"/>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6"/>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rPr>
                <w:lang w:val="zh-CN"/>
              </w:rPr>
            </w:pPr>
            <w:r>
              <w:rPr>
                <w:rFonts w:hint="eastAsia"/>
                <w:lang w:val="zh-CN"/>
              </w:rPr>
              <w:t>a.时间和地点详见 “投标邀请”;</w:t>
            </w:r>
          </w:p>
          <w:p>
            <w:pPr>
              <w:pStyle w:val="56"/>
              <w:snapToGrid w:val="0"/>
              <w:spacing w:line="360" w:lineRule="auto"/>
              <w:rPr>
                <w:lang w:val="zh-CN"/>
              </w:rPr>
            </w:pPr>
            <w:r>
              <w:rPr>
                <w:rFonts w:hint="eastAsia"/>
                <w:lang w:val="zh-CN"/>
              </w:rPr>
              <w:t>b.采购人在招标文件规定的时间和地点组织开标，投标人代表人执有效身份证参加。</w:t>
            </w:r>
          </w:p>
          <w:p>
            <w:pPr>
              <w:pStyle w:val="56"/>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rPr>
                <w:highlight w:val="yellow"/>
                <w:lang w:val="zh-CN"/>
              </w:rPr>
            </w:pPr>
            <w:r>
              <w:rPr>
                <w:rFonts w:hint="eastAsia"/>
                <w:lang w:val="zh-CN"/>
              </w:rPr>
              <w:t>时间：</w:t>
            </w:r>
            <w:r>
              <w:rPr>
                <w:rFonts w:hint="eastAsia"/>
              </w:rPr>
              <w:t>2020</w:t>
            </w:r>
            <w:r>
              <w:rPr>
                <w:rFonts w:hint="eastAsia"/>
                <w:lang w:val="zh-CN"/>
              </w:rPr>
              <w:t>年</w:t>
            </w:r>
            <w:r>
              <w:rPr>
                <w:rFonts w:hint="eastAsia"/>
                <w:lang w:val="en-US" w:eastAsia="zh-CN"/>
              </w:rPr>
              <w:t>12</w:t>
            </w:r>
            <w:r>
              <w:rPr>
                <w:rFonts w:hint="eastAsia"/>
              </w:rPr>
              <w:t>月</w:t>
            </w:r>
            <w:r>
              <w:rPr>
                <w:rFonts w:hint="eastAsia"/>
                <w:lang w:val="en-US" w:eastAsia="zh-CN"/>
              </w:rPr>
              <w:t>8</w:t>
            </w:r>
            <w:r>
              <w:rPr>
                <w:rFonts w:hint="eastAsia"/>
                <w:lang w:val="zh-CN"/>
              </w:rPr>
              <w:t>日</w:t>
            </w:r>
            <w:r>
              <w:rPr>
                <w:rFonts w:hint="eastAsia"/>
                <w:lang w:val="en-US" w:eastAsia="zh-CN"/>
              </w:rPr>
              <w:t>10:00</w:t>
            </w:r>
            <w:r>
              <w:rPr>
                <w:rFonts w:hint="eastAsia"/>
                <w:lang w:val="zh-CN"/>
              </w:rPr>
              <w:t>（北京时间）</w:t>
            </w:r>
          </w:p>
          <w:p>
            <w:pPr>
              <w:pStyle w:val="56"/>
              <w:snapToGrid w:val="0"/>
              <w:spacing w:line="360" w:lineRule="auto"/>
              <w:ind w:firstLine="240" w:firstLineChars="100"/>
            </w:pPr>
            <w:r>
              <w:rPr>
                <w:rFonts w:hint="eastAsia"/>
                <w:lang w:val="zh-CN"/>
              </w:rPr>
              <w:t>地点：</w:t>
            </w:r>
            <w:r>
              <w:rPr>
                <w:rFonts w:hint="eastAsia"/>
              </w:rPr>
              <w:t>四川成都郫县安德镇彭温路399号</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7" w:name="_Toc217446038"/>
      <w:bookmarkStart w:id="18" w:name="_Toc77400779"/>
      <w:bookmarkStart w:id="19" w:name="_Toc183682346"/>
      <w:bookmarkStart w:id="20" w:name="_Toc183582209"/>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4"/>
        <w:snapToGrid w:val="0"/>
        <w:spacing w:before="0" w:after="0" w:line="360" w:lineRule="auto"/>
        <w:ind w:firstLine="161" w:firstLineChars="67"/>
        <w:rPr>
          <w:rFonts w:hAnsi="宋体" w:cs="宋体"/>
          <w:sz w:val="24"/>
          <w:szCs w:val="24"/>
        </w:rPr>
      </w:pPr>
      <w:bookmarkStart w:id="22" w:name="_Toc183682347"/>
      <w:bookmarkStart w:id="23" w:name="_Toc217446039"/>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8" w:name="_Toc77400780"/>
      <w:bookmarkStart w:id="29" w:name="_Toc183682351"/>
      <w:bookmarkStart w:id="30" w:name="_Toc89075876"/>
      <w:bookmarkStart w:id="31" w:name="_Toc183582214"/>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4"/>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582218"/>
      <w:bookmarkStart w:id="45" w:name="_Toc183682355"/>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9" w:name="_Toc77400781"/>
      <w:bookmarkStart w:id="50" w:name="_Toc183682363"/>
      <w:bookmarkStart w:id="51" w:name="_Toc183582226"/>
      <w:bookmarkStart w:id="52" w:name="_Toc89075877"/>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682368"/>
      <w:bookmarkStart w:id="62" w:name="_Toc183582231"/>
      <w:bookmarkStart w:id="63" w:name="_Toc77400782"/>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217446057"/>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3"/>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3"/>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3"/>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3"/>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3"/>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rPr>
          <w:rFonts w:ascii="Times New Roman"/>
        </w:rPr>
      </w:pPr>
    </w:p>
    <w:p>
      <w:pPr>
        <w:pStyle w:val="2"/>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3"/>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3"/>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68864"/>
      <w:bookmarkStart w:id="88" w:name="_Toc263753600"/>
      <w:bookmarkStart w:id="89" w:name="_Toc256175382"/>
      <w:bookmarkStart w:id="90" w:name="_Toc237145385"/>
      <w:bookmarkStart w:id="91" w:name="_Toc297204985"/>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3"/>
        <w:keepNext w:val="0"/>
        <w:keepLines w:val="0"/>
        <w:snapToGrid w:val="0"/>
        <w:spacing w:before="0" w:after="0"/>
        <w:jc w:val="center"/>
        <w:rPr>
          <w:rFonts w:ascii="仿宋_GB2312" w:eastAsia="仿宋_GB2312"/>
        </w:rPr>
      </w:pPr>
      <w:bookmarkStart w:id="94" w:name="_Toc123786888"/>
      <w:bookmarkStart w:id="95" w:name="_Toc315963014"/>
      <w:r>
        <w:rPr>
          <w:rFonts w:hint="eastAsia" w:ascii="仿宋_GB2312" w:eastAsia="仿宋_GB2312"/>
        </w:rPr>
        <w:t>三、投标</w:t>
      </w:r>
      <w:bookmarkEnd w:id="94"/>
      <w:r>
        <w:rPr>
          <w:rFonts w:hint="eastAsia" w:ascii="仿宋_GB2312" w:eastAsia="仿宋_GB2312"/>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3"/>
        <w:snapToGrid w:val="0"/>
        <w:spacing w:before="0" w:after="0" w:line="360" w:lineRule="auto"/>
        <w:jc w:val="center"/>
        <w:rPr>
          <w:rFonts w:ascii="宋体" w:hAnsi="宋体" w:eastAsia="宋体" w:cs="宋体"/>
        </w:rPr>
      </w:pPr>
      <w:bookmarkStart w:id="96"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b/>
          <w:sz w:val="32"/>
          <w:szCs w:val="32"/>
        </w:rPr>
      </w:pPr>
      <w:r>
        <w:rPr>
          <w:rFonts w:hAnsi="宋体" w:cs="宋体"/>
        </w:rP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2"/>
        <w:snapToGrid w:val="0"/>
        <w:spacing w:before="0" w:after="283" w:afterLines="60" w:line="360" w:lineRule="auto"/>
        <w:rPr>
          <w:rFonts w:hAnsi="宋体" w:cs="宋体"/>
          <w:sz w:val="21"/>
          <w:szCs w:val="21"/>
        </w:rPr>
      </w:pPr>
    </w:p>
    <w:p>
      <w:pPr>
        <w:pStyle w:val="2"/>
        <w:numPr>
          <w:ilvl w:val="0"/>
          <w:numId w:val="4"/>
        </w:numPr>
        <w:snapToGrid w:val="0"/>
        <w:spacing w:before="0" w:after="283" w:afterLines="60" w:line="360" w:lineRule="auto"/>
        <w:jc w:val="center"/>
        <w:rPr>
          <w:rFonts w:hint="eastAsia" w:hAnsi="宋体"/>
          <w:sz w:val="32"/>
          <w:szCs w:val="32"/>
        </w:rPr>
      </w:pPr>
      <w:r>
        <w:rPr>
          <w:rFonts w:hAnsi="宋体"/>
          <w:sz w:val="32"/>
          <w:szCs w:val="32"/>
        </w:rPr>
        <w:t xml:space="preserve"> </w:t>
      </w:r>
      <w:r>
        <w:rPr>
          <w:rFonts w:hint="eastAsia" w:hAnsi="宋体"/>
          <w:sz w:val="32"/>
          <w:szCs w:val="32"/>
        </w:rPr>
        <w:t>招标项目技术、商务及其他要求</w:t>
      </w:r>
    </w:p>
    <w:tbl>
      <w:tblPr>
        <w:tblStyle w:val="19"/>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959" w:type="dxa"/>
            <w:vAlign w:val="center"/>
          </w:tcPr>
          <w:p>
            <w:pPr>
              <w:spacing w:line="360" w:lineRule="exact"/>
              <w:jc w:val="center"/>
              <w:rPr>
                <w:rFonts w:hAnsi="宋体"/>
                <w:color w:val="000000"/>
                <w:sz w:val="24"/>
                <w:szCs w:val="24"/>
              </w:rPr>
            </w:pPr>
            <w:r>
              <w:rPr>
                <w:rFonts w:hint="eastAsia" w:hAnsi="宋体"/>
                <w:color w:val="000000"/>
                <w:sz w:val="24"/>
                <w:szCs w:val="24"/>
              </w:rPr>
              <w:t>项目名称</w:t>
            </w:r>
          </w:p>
        </w:tc>
        <w:tc>
          <w:tcPr>
            <w:tcW w:w="8356" w:type="dxa"/>
            <w:vAlign w:val="center"/>
          </w:tcPr>
          <w:p>
            <w:pPr>
              <w:pStyle w:val="69"/>
              <w:jc w:val="center"/>
              <w:rPr>
                <w:rFonts w:hAnsi="宋体"/>
              </w:rPr>
            </w:pPr>
            <w:r>
              <w:rPr>
                <w:rFonts w:hint="eastAsia"/>
                <w:sz w:val="21"/>
                <w:szCs w:val="21"/>
              </w:rPr>
              <w:t>《高铁变电所二次系统运行与维护》课程开发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59" w:type="dxa"/>
            <w:vAlign w:val="center"/>
          </w:tcPr>
          <w:p>
            <w:pPr>
              <w:spacing w:line="360" w:lineRule="exact"/>
              <w:jc w:val="center"/>
              <w:rPr>
                <w:rFonts w:hAnsi="宋体"/>
                <w:color w:val="000000"/>
                <w:sz w:val="24"/>
                <w:szCs w:val="24"/>
              </w:rPr>
            </w:pPr>
            <w:r>
              <w:rPr>
                <w:rFonts w:hint="eastAsia" w:hAnsi="宋体"/>
                <w:color w:val="000000"/>
                <w:sz w:val="24"/>
                <w:szCs w:val="24"/>
              </w:rPr>
              <w:t>详细技术参数</w:t>
            </w:r>
          </w:p>
          <w:p>
            <w:pPr>
              <w:spacing w:line="360" w:lineRule="exact"/>
              <w:jc w:val="center"/>
              <w:rPr>
                <w:rFonts w:hAnsi="宋体"/>
                <w:color w:val="000000"/>
                <w:sz w:val="24"/>
                <w:szCs w:val="24"/>
              </w:rPr>
            </w:pPr>
            <w:r>
              <w:rPr>
                <w:rFonts w:hint="eastAsia" w:hAnsi="宋体"/>
                <w:color w:val="000000"/>
                <w:sz w:val="24"/>
                <w:szCs w:val="24"/>
              </w:rPr>
              <w:t>（包括：规格、型号、数量、技术要求和售后服务要求等）</w:t>
            </w:r>
          </w:p>
        </w:tc>
        <w:tc>
          <w:tcPr>
            <w:tcW w:w="8356" w:type="dxa"/>
          </w:tcPr>
          <w:p>
            <w:pPr>
              <w:autoSpaceDE w:val="0"/>
              <w:autoSpaceDN w:val="0"/>
              <w:adjustRightInd w:val="0"/>
              <w:jc w:val="left"/>
              <w:rPr>
                <w:rFonts w:eastAsia="宋体" w:cs="宋体"/>
                <w:color w:val="000000"/>
                <w:sz w:val="21"/>
                <w:szCs w:val="21"/>
              </w:rPr>
            </w:pPr>
            <w:r>
              <w:rPr>
                <w:rFonts w:hint="eastAsia" w:eastAsia="宋体" w:cs="宋体"/>
                <w:color w:val="000000"/>
                <w:sz w:val="21"/>
                <w:szCs w:val="21"/>
              </w:rPr>
              <w:t>一、建设内容：</w:t>
            </w:r>
            <w:r>
              <w:rPr>
                <w:rFonts w:eastAsia="宋体" w:cs="宋体"/>
                <w:color w:val="000000"/>
                <w:sz w:val="21"/>
                <w:szCs w:val="21"/>
              </w:rPr>
              <w:t xml:space="preserve"> </w:t>
            </w:r>
          </w:p>
          <w:p>
            <w:pPr>
              <w:autoSpaceDE w:val="0"/>
              <w:autoSpaceDN w:val="0"/>
              <w:adjustRightInd w:val="0"/>
              <w:ind w:firstLine="420" w:firstLineChars="200"/>
              <w:jc w:val="left"/>
              <w:rPr>
                <w:rFonts w:eastAsia="宋体" w:cs="宋体"/>
                <w:color w:val="000000"/>
                <w:sz w:val="21"/>
                <w:szCs w:val="21"/>
              </w:rPr>
            </w:pPr>
            <w:r>
              <w:rPr>
                <w:rFonts w:hint="eastAsia" w:eastAsia="宋体" w:cs="宋体"/>
                <w:color w:val="000000"/>
                <w:sz w:val="21"/>
                <w:szCs w:val="21"/>
              </w:rPr>
              <w:t>按照</w:t>
            </w:r>
            <w:r>
              <w:rPr>
                <w:rFonts w:eastAsia="宋体" w:cs="宋体"/>
                <w:color w:val="000000"/>
                <w:sz w:val="21"/>
                <w:szCs w:val="21"/>
              </w:rPr>
              <w:t>“</w:t>
            </w:r>
            <w:r>
              <w:rPr>
                <w:rFonts w:hint="eastAsia" w:eastAsia="宋体" w:cs="宋体"/>
                <w:color w:val="000000"/>
                <w:sz w:val="21"/>
                <w:szCs w:val="21"/>
              </w:rPr>
              <w:t>国家急需、全国一流、面向专业</w:t>
            </w:r>
            <w:r>
              <w:rPr>
                <w:rFonts w:eastAsia="宋体" w:cs="宋体"/>
                <w:color w:val="000000"/>
                <w:sz w:val="21"/>
                <w:szCs w:val="21"/>
              </w:rPr>
              <w:t>”</w:t>
            </w:r>
            <w:r>
              <w:rPr>
                <w:rFonts w:hint="eastAsia" w:eastAsia="宋体" w:cs="宋体"/>
                <w:color w:val="000000"/>
                <w:sz w:val="21"/>
                <w:szCs w:val="21"/>
              </w:rPr>
              <w:t>的总要求，资源库通过校企合作共建共享优质教学资源、提升教学信息化水平，带动教育理念、教学方法和学习方式变革，提高人才培养质量；探索基于资源库应用的学习成果认证、积累和转换机制；为社会学习者提供服务，增强职业教育社会服务能力，为构建灵活开放的终身教育体系、促进学习型社会建设提供条件和保障。</w:t>
            </w:r>
          </w:p>
          <w:p>
            <w:pPr>
              <w:autoSpaceDE w:val="0"/>
              <w:autoSpaceDN w:val="0"/>
              <w:adjustRightInd w:val="0"/>
              <w:ind w:firstLine="420" w:firstLineChars="200"/>
              <w:jc w:val="left"/>
              <w:rPr>
                <w:rFonts w:eastAsia="宋体" w:cs="宋体"/>
                <w:color w:val="000000"/>
                <w:sz w:val="21"/>
                <w:szCs w:val="21"/>
              </w:rPr>
            </w:pPr>
            <w:r>
              <w:rPr>
                <w:rFonts w:hint="eastAsia" w:eastAsia="宋体" w:cs="宋体"/>
                <w:color w:val="000000"/>
                <w:sz w:val="21"/>
                <w:szCs w:val="21"/>
              </w:rPr>
              <w:t>资源库定位于</w:t>
            </w:r>
            <w:r>
              <w:rPr>
                <w:rFonts w:eastAsia="宋体" w:cs="宋体"/>
                <w:color w:val="000000"/>
                <w:sz w:val="21"/>
                <w:szCs w:val="21"/>
              </w:rPr>
              <w:t>“</w:t>
            </w:r>
            <w:r>
              <w:rPr>
                <w:rFonts w:hint="eastAsia" w:eastAsia="宋体" w:cs="宋体"/>
                <w:color w:val="000000"/>
                <w:sz w:val="21"/>
                <w:szCs w:val="21"/>
              </w:rPr>
              <w:t>能学、辅教</w:t>
            </w:r>
            <w:r>
              <w:rPr>
                <w:rFonts w:eastAsia="宋体" w:cs="宋体"/>
                <w:color w:val="000000"/>
                <w:sz w:val="21"/>
                <w:szCs w:val="21"/>
              </w:rPr>
              <w:t>”</w:t>
            </w:r>
            <w:r>
              <w:rPr>
                <w:rFonts w:hint="eastAsia" w:eastAsia="宋体" w:cs="宋体"/>
                <w:color w:val="000000"/>
                <w:sz w:val="21"/>
                <w:szCs w:val="21"/>
              </w:rPr>
              <w:t>。</w:t>
            </w:r>
            <w:r>
              <w:rPr>
                <w:rFonts w:eastAsia="宋体" w:cs="宋体"/>
                <w:color w:val="000000"/>
                <w:sz w:val="21"/>
                <w:szCs w:val="21"/>
              </w:rPr>
              <w:t>“</w:t>
            </w:r>
            <w:r>
              <w:rPr>
                <w:rFonts w:hint="eastAsia" w:eastAsia="宋体" w:cs="宋体"/>
                <w:color w:val="000000"/>
                <w:sz w:val="21"/>
                <w:szCs w:val="21"/>
              </w:rPr>
              <w:t>能学</w:t>
            </w:r>
            <w:r>
              <w:rPr>
                <w:rFonts w:eastAsia="宋体" w:cs="宋体"/>
                <w:color w:val="000000"/>
                <w:sz w:val="21"/>
                <w:szCs w:val="21"/>
              </w:rPr>
              <w:t>”</w:t>
            </w:r>
            <w:r>
              <w:rPr>
                <w:rFonts w:hint="eastAsia" w:eastAsia="宋体" w:cs="宋体"/>
                <w:color w:val="000000"/>
                <w:sz w:val="21"/>
                <w:szCs w:val="21"/>
              </w:rPr>
              <w:t>指有学习意愿并具备基本学习条件的学生、教师和社会学习者，均可以通过登录资源库，自主选择进行系统化、个性化的学习，实现学习目标。</w:t>
            </w:r>
            <w:r>
              <w:rPr>
                <w:rFonts w:eastAsia="宋体" w:cs="宋体"/>
                <w:color w:val="000000"/>
                <w:sz w:val="21"/>
                <w:szCs w:val="21"/>
              </w:rPr>
              <w:t>“</w:t>
            </w:r>
            <w:r>
              <w:rPr>
                <w:rFonts w:hint="eastAsia" w:eastAsia="宋体" w:cs="宋体"/>
                <w:color w:val="000000"/>
                <w:sz w:val="21"/>
                <w:szCs w:val="21"/>
              </w:rPr>
              <w:t>辅教</w:t>
            </w:r>
            <w:r>
              <w:rPr>
                <w:rFonts w:eastAsia="宋体" w:cs="宋体"/>
                <w:color w:val="000000"/>
                <w:sz w:val="21"/>
                <w:szCs w:val="21"/>
              </w:rPr>
              <w:t>”</w:t>
            </w:r>
            <w:r>
              <w:rPr>
                <w:rFonts w:hint="eastAsia" w:eastAsia="宋体" w:cs="宋体"/>
                <w:color w:val="000000"/>
                <w:sz w:val="21"/>
                <w:szCs w:val="21"/>
              </w:rPr>
              <w:t>指教师可以针对不同的教授对象和教学要求，利用资源库灵活组织教学内容、辅助教学实施，实现教学目标。</w:t>
            </w:r>
          </w:p>
          <w:p>
            <w:pPr>
              <w:autoSpaceDE w:val="0"/>
              <w:autoSpaceDN w:val="0"/>
              <w:adjustRightInd w:val="0"/>
              <w:ind w:firstLine="420" w:firstLineChars="200"/>
              <w:jc w:val="left"/>
              <w:rPr>
                <w:rFonts w:eastAsia="宋体" w:cs="宋体"/>
                <w:color w:val="000000"/>
                <w:sz w:val="21"/>
                <w:szCs w:val="21"/>
              </w:rPr>
            </w:pPr>
            <w:r>
              <w:rPr>
                <w:rFonts w:hint="eastAsia" w:eastAsia="宋体" w:cs="宋体"/>
                <w:color w:val="000000"/>
                <w:sz w:val="21"/>
                <w:szCs w:val="21"/>
              </w:rPr>
              <w:t>资源库遵循</w:t>
            </w:r>
            <w:r>
              <w:rPr>
                <w:rFonts w:eastAsia="宋体" w:cs="宋体"/>
                <w:color w:val="000000"/>
                <w:sz w:val="21"/>
                <w:szCs w:val="21"/>
              </w:rPr>
              <w:t>“</w:t>
            </w:r>
            <w:r>
              <w:rPr>
                <w:rFonts w:hint="eastAsia" w:eastAsia="宋体" w:cs="宋体"/>
                <w:color w:val="000000"/>
                <w:sz w:val="21"/>
                <w:szCs w:val="21"/>
              </w:rPr>
              <w:t>一体化设计、结构化课程、颗粒化资源</w:t>
            </w:r>
            <w:r>
              <w:rPr>
                <w:rFonts w:eastAsia="宋体" w:cs="宋体"/>
                <w:color w:val="000000"/>
                <w:sz w:val="21"/>
                <w:szCs w:val="21"/>
              </w:rPr>
              <w:t>”</w:t>
            </w:r>
            <w:r>
              <w:rPr>
                <w:rFonts w:hint="eastAsia" w:eastAsia="宋体" w:cs="宋体"/>
                <w:color w:val="000000"/>
                <w:sz w:val="21"/>
                <w:szCs w:val="21"/>
              </w:rPr>
              <w:t>的建构逻辑。其中，</w:t>
            </w:r>
            <w:r>
              <w:rPr>
                <w:rFonts w:eastAsia="宋体" w:cs="宋体"/>
                <w:color w:val="000000"/>
                <w:sz w:val="21"/>
                <w:szCs w:val="21"/>
              </w:rPr>
              <w:t>“</w:t>
            </w:r>
            <w:r>
              <w:rPr>
                <w:rFonts w:hint="eastAsia" w:eastAsia="宋体" w:cs="宋体"/>
                <w:color w:val="000000"/>
                <w:sz w:val="21"/>
                <w:szCs w:val="21"/>
              </w:rPr>
              <w:t>一体化设计</w:t>
            </w:r>
            <w:r>
              <w:rPr>
                <w:rFonts w:eastAsia="宋体" w:cs="宋体"/>
                <w:color w:val="000000"/>
                <w:sz w:val="21"/>
                <w:szCs w:val="21"/>
              </w:rPr>
              <w:t>”</w:t>
            </w:r>
            <w:r>
              <w:rPr>
                <w:rFonts w:hint="eastAsia" w:eastAsia="宋体" w:cs="宋体"/>
                <w:color w:val="000000"/>
                <w:sz w:val="21"/>
                <w:szCs w:val="21"/>
              </w:rPr>
              <w:t>是前提，资源库建设要以用户需求为导向、结合专业特点，统筹资源建设、平台设计以及共建共享机制的构建；</w:t>
            </w:r>
            <w:r>
              <w:rPr>
                <w:rFonts w:eastAsia="宋体" w:cs="宋体"/>
                <w:color w:val="000000"/>
                <w:sz w:val="21"/>
                <w:szCs w:val="21"/>
              </w:rPr>
              <w:t>“</w:t>
            </w:r>
            <w:r>
              <w:rPr>
                <w:rFonts w:hint="eastAsia" w:eastAsia="宋体" w:cs="宋体"/>
                <w:color w:val="000000"/>
                <w:sz w:val="21"/>
                <w:szCs w:val="21"/>
              </w:rPr>
              <w:t>结构化课程</w:t>
            </w:r>
            <w:r>
              <w:rPr>
                <w:rFonts w:eastAsia="宋体" w:cs="宋体"/>
                <w:color w:val="000000"/>
                <w:sz w:val="21"/>
                <w:szCs w:val="21"/>
              </w:rPr>
              <w:t>”</w:t>
            </w:r>
            <w:r>
              <w:rPr>
                <w:rFonts w:hint="eastAsia" w:eastAsia="宋体" w:cs="宋体"/>
                <w:color w:val="000000"/>
                <w:sz w:val="21"/>
                <w:szCs w:val="21"/>
              </w:rPr>
              <w:t>是重点，资源库提供的标准化课程要贯彻专业教学标准、覆盖专业核心课程、展现教学内容与课程体系改革成果、融入创新创业教育，满足网络学习和线上线下混合教学的需要；</w:t>
            </w:r>
            <w:r>
              <w:rPr>
                <w:rFonts w:eastAsia="宋体" w:cs="宋体"/>
                <w:color w:val="000000"/>
                <w:sz w:val="21"/>
                <w:szCs w:val="21"/>
              </w:rPr>
              <w:t>“</w:t>
            </w:r>
            <w:r>
              <w:rPr>
                <w:rFonts w:hint="eastAsia" w:eastAsia="宋体" w:cs="宋体"/>
                <w:color w:val="000000"/>
                <w:sz w:val="21"/>
                <w:szCs w:val="21"/>
              </w:rPr>
              <w:t>颗粒化资源</w:t>
            </w:r>
            <w:r>
              <w:rPr>
                <w:rFonts w:eastAsia="宋体" w:cs="宋体"/>
                <w:color w:val="000000"/>
                <w:sz w:val="21"/>
                <w:szCs w:val="21"/>
              </w:rPr>
              <w:t>”</w:t>
            </w:r>
            <w:r>
              <w:rPr>
                <w:rFonts w:hint="eastAsia" w:eastAsia="宋体" w:cs="宋体"/>
                <w:color w:val="000000"/>
                <w:sz w:val="21"/>
                <w:szCs w:val="21"/>
              </w:rPr>
              <w:t>是基础，库内资源的最小单元须是独立的知识点或完整的表现素材，单体结构完整、属性标注全面，方便用户检索、学习和组课。</w:t>
            </w:r>
          </w:p>
          <w:p>
            <w:pPr>
              <w:autoSpaceDE w:val="0"/>
              <w:autoSpaceDN w:val="0"/>
              <w:adjustRightInd w:val="0"/>
              <w:jc w:val="left"/>
              <w:rPr>
                <w:rFonts w:eastAsia="宋体" w:cs="宋体"/>
                <w:color w:val="000000"/>
                <w:sz w:val="21"/>
                <w:szCs w:val="21"/>
              </w:rPr>
            </w:pPr>
            <w:r>
              <w:rPr>
                <w:rFonts w:hint="eastAsia" w:eastAsia="宋体" w:cs="宋体"/>
                <w:color w:val="000000"/>
                <w:sz w:val="21"/>
                <w:szCs w:val="21"/>
              </w:rPr>
              <w:t>（一）学习资源</w:t>
            </w:r>
          </w:p>
          <w:p>
            <w:pPr>
              <w:autoSpaceDE w:val="0"/>
              <w:autoSpaceDN w:val="0"/>
              <w:adjustRightInd w:val="0"/>
              <w:jc w:val="left"/>
              <w:rPr>
                <w:rFonts w:eastAsia="宋体" w:cs="宋体"/>
                <w:color w:val="000000"/>
                <w:sz w:val="21"/>
                <w:szCs w:val="21"/>
              </w:rPr>
            </w:pPr>
            <w:r>
              <w:rPr>
                <w:rFonts w:eastAsia="宋体" w:cs="宋体"/>
                <w:color w:val="000000"/>
                <w:sz w:val="21"/>
                <w:szCs w:val="21"/>
              </w:rPr>
              <w:t>1.</w:t>
            </w:r>
            <w:r>
              <w:rPr>
                <w:rFonts w:hint="eastAsia" w:eastAsia="宋体" w:cs="宋体"/>
                <w:color w:val="000000"/>
                <w:sz w:val="21"/>
                <w:szCs w:val="21"/>
              </w:rPr>
              <w:t>基本资源。一般指涵盖专业教学标准规定内容、覆盖专业基本知识点和技能点，颗粒化程度较高、表现形式恰当，能够支撑标准化课程的资源。</w:t>
            </w:r>
          </w:p>
          <w:p>
            <w:pPr>
              <w:autoSpaceDE w:val="0"/>
              <w:autoSpaceDN w:val="0"/>
              <w:adjustRightInd w:val="0"/>
              <w:jc w:val="left"/>
              <w:rPr>
                <w:rFonts w:eastAsia="宋体" w:cs="宋体"/>
                <w:color w:val="000000"/>
                <w:sz w:val="21"/>
                <w:szCs w:val="21"/>
              </w:rPr>
            </w:pPr>
            <w:r>
              <w:rPr>
                <w:rFonts w:eastAsia="宋体" w:cs="宋体"/>
                <w:color w:val="000000"/>
                <w:sz w:val="21"/>
                <w:szCs w:val="21"/>
              </w:rPr>
              <w:t>2.</w:t>
            </w:r>
            <w:r>
              <w:rPr>
                <w:rFonts w:hint="eastAsia" w:eastAsia="宋体" w:cs="宋体"/>
                <w:color w:val="000000"/>
                <w:sz w:val="21"/>
                <w:szCs w:val="21"/>
              </w:rPr>
              <w:t>拓展资源。一般指基本资源之外，针对产业发展需要和用户个性化需求，开发建设特色性、前瞻性资源。</w:t>
            </w:r>
          </w:p>
          <w:p>
            <w:pPr>
              <w:autoSpaceDE w:val="0"/>
              <w:autoSpaceDN w:val="0"/>
              <w:adjustRightInd w:val="0"/>
              <w:jc w:val="left"/>
              <w:rPr>
                <w:rFonts w:eastAsia="宋体" w:cs="宋体"/>
                <w:color w:val="000000"/>
                <w:sz w:val="21"/>
                <w:szCs w:val="21"/>
              </w:rPr>
            </w:pPr>
            <w:r>
              <w:rPr>
                <w:rFonts w:eastAsia="宋体" w:cs="宋体"/>
                <w:color w:val="000000"/>
                <w:sz w:val="21"/>
                <w:szCs w:val="21"/>
              </w:rPr>
              <w:t>3.</w:t>
            </w:r>
            <w:r>
              <w:rPr>
                <w:rFonts w:hint="eastAsia" w:eastAsia="宋体" w:cs="宋体"/>
                <w:color w:val="000000"/>
                <w:sz w:val="21"/>
                <w:szCs w:val="21"/>
              </w:rPr>
              <w:t>资源属性。库内资源应按照内容和性质全面详细标注属性，以便资源的检索和组织。资源形式规格应遵循行业通行的网络教育技术标准。鼓励按《中国标准关联标识符（</w:t>
            </w:r>
            <w:r>
              <w:rPr>
                <w:rFonts w:eastAsia="宋体" w:cs="宋体"/>
                <w:color w:val="000000"/>
                <w:sz w:val="21"/>
                <w:szCs w:val="21"/>
              </w:rPr>
              <w:t>ISLI</w:t>
            </w:r>
            <w:r>
              <w:rPr>
                <w:rFonts w:hint="eastAsia" w:eastAsia="宋体" w:cs="宋体"/>
                <w:color w:val="000000"/>
                <w:sz w:val="21"/>
                <w:szCs w:val="21"/>
              </w:rPr>
              <w:t>）》标识资源。</w:t>
            </w:r>
          </w:p>
          <w:p>
            <w:pPr>
              <w:autoSpaceDE w:val="0"/>
              <w:autoSpaceDN w:val="0"/>
              <w:adjustRightInd w:val="0"/>
              <w:jc w:val="left"/>
              <w:rPr>
                <w:rFonts w:eastAsia="宋体"/>
                <w:sz w:val="21"/>
                <w:szCs w:val="21"/>
              </w:rPr>
            </w:pPr>
            <w:r>
              <w:rPr>
                <w:rFonts w:eastAsia="宋体" w:cs="宋体"/>
                <w:color w:val="000000"/>
                <w:sz w:val="21"/>
                <w:szCs w:val="21"/>
              </w:rPr>
              <w:t>4.</w:t>
            </w:r>
            <w:r>
              <w:rPr>
                <w:rFonts w:hint="eastAsia" w:eastAsia="宋体" w:cs="宋体"/>
                <w:color w:val="000000"/>
                <w:sz w:val="21"/>
                <w:szCs w:val="21"/>
              </w:rPr>
              <w:t>资源类型。资源类型一般包括文本类素材、图形（图像）类素材、音频类素材、视频类素材、动画类素材和虚拟仿真类素材等。应充分发挥信息技术优势，提高库内视频类、动画类、虚拟仿真类资源的占比。视频类素材注重叙事性和完整性，以</w:t>
            </w:r>
            <w:r>
              <w:rPr>
                <w:rFonts w:eastAsia="宋体" w:cs="宋体"/>
                <w:color w:val="000000"/>
                <w:sz w:val="21"/>
                <w:szCs w:val="21"/>
              </w:rPr>
              <w:t>“</w:t>
            </w:r>
            <w:r>
              <w:rPr>
                <w:rFonts w:hint="eastAsia" w:eastAsia="宋体" w:cs="宋体"/>
                <w:color w:val="000000"/>
                <w:sz w:val="21"/>
                <w:szCs w:val="21"/>
              </w:rPr>
              <w:t>微课程</w:t>
            </w:r>
            <w:r>
              <w:rPr>
                <w:rFonts w:eastAsia="宋体" w:cs="宋体"/>
                <w:color w:val="000000"/>
                <w:sz w:val="21"/>
                <w:szCs w:val="21"/>
              </w:rPr>
              <w:t>”</w:t>
            </w:r>
            <w:r>
              <w:rPr>
                <w:rFonts w:hint="eastAsia" w:eastAsia="宋体" w:cs="宋体"/>
                <w:color w:val="000000"/>
                <w:sz w:val="21"/>
                <w:szCs w:val="21"/>
              </w:rPr>
              <w:t>为主要形式，用于讲解知识点或技能点；动画类素材注重逻辑规律运动的形象表达，将抽象、微观的概念可视化，用于演示抽象概</w:t>
            </w:r>
            <w:r>
              <w:rPr>
                <w:rFonts w:eastAsia="宋体"/>
                <w:sz w:val="21"/>
                <w:szCs w:val="21"/>
              </w:rPr>
              <w:t>念、复杂结构、复杂运动等。</w:t>
            </w:r>
          </w:p>
          <w:p>
            <w:pPr>
              <w:autoSpaceDE w:val="0"/>
              <w:autoSpaceDN w:val="0"/>
              <w:adjustRightInd w:val="0"/>
              <w:jc w:val="left"/>
              <w:rPr>
                <w:rFonts w:eastAsia="宋体"/>
                <w:sz w:val="21"/>
                <w:szCs w:val="21"/>
              </w:rPr>
            </w:pPr>
            <w:r>
              <w:rPr>
                <w:rFonts w:eastAsia="宋体"/>
                <w:sz w:val="21"/>
                <w:szCs w:val="21"/>
              </w:rPr>
              <w:t>5.分层建设。库内资源应包含素材、积件、模块和课程等不同层次。素材是最基础的、颗粒化的资源单体；积件是以知识点、技能点为单位，由多个内在关联的素材组合形成；模块以工作任务、技能训练项目等为单位，由多个知识点、技能点的积件组合形成；课程由多个工作任务、技能训练项目等组合形成，包括逻辑合理、内容完备、周期完整的标准化课程以及满足不同需要、用户自行搭建的个性化课程。</w:t>
            </w:r>
          </w:p>
          <w:p>
            <w:pPr>
              <w:autoSpaceDE w:val="0"/>
              <w:autoSpaceDN w:val="0"/>
              <w:adjustRightInd w:val="0"/>
              <w:jc w:val="left"/>
              <w:rPr>
                <w:rFonts w:eastAsia="宋体"/>
                <w:sz w:val="21"/>
                <w:szCs w:val="21"/>
              </w:rPr>
            </w:pPr>
            <w:r>
              <w:rPr>
                <w:rFonts w:eastAsia="宋体"/>
                <w:sz w:val="21"/>
                <w:szCs w:val="21"/>
              </w:rPr>
              <w:t>6.资源冗余。库内的素材、积件、模块应在数量和类型上超出标准化课程包含的内容，以更好地支持用户自主搭建课程和拓展学习。</w:t>
            </w:r>
          </w:p>
          <w:p>
            <w:pPr>
              <w:autoSpaceDE w:val="0"/>
              <w:autoSpaceDN w:val="0"/>
              <w:adjustRightInd w:val="0"/>
              <w:jc w:val="left"/>
              <w:rPr>
                <w:rFonts w:eastAsia="宋体"/>
                <w:sz w:val="21"/>
                <w:szCs w:val="21"/>
              </w:rPr>
            </w:pPr>
            <w:r>
              <w:rPr>
                <w:rFonts w:eastAsia="宋体"/>
                <w:sz w:val="21"/>
                <w:szCs w:val="21"/>
              </w:rPr>
              <w:t>（二）支持服务</w:t>
            </w:r>
          </w:p>
          <w:p>
            <w:pPr>
              <w:autoSpaceDE w:val="0"/>
              <w:autoSpaceDN w:val="0"/>
              <w:adjustRightInd w:val="0"/>
              <w:ind w:firstLine="420" w:firstLineChars="200"/>
              <w:jc w:val="left"/>
              <w:rPr>
                <w:rFonts w:eastAsia="宋体"/>
                <w:sz w:val="21"/>
                <w:szCs w:val="21"/>
              </w:rPr>
            </w:pPr>
            <w:r>
              <w:rPr>
                <w:rFonts w:eastAsia="宋体"/>
                <w:sz w:val="21"/>
                <w:szCs w:val="21"/>
              </w:rPr>
              <w:t>资源库内容还应包括但不限于：专业介绍、人才培养方案（包含教学文件）、职业标准、技术标准、培训项目、作业及测评系统、习题库（试题库）、企业案例、双师资源、就业与岗位、产品及文化展示、就业创业平台、企业网站链接，以及导学助学系统等。</w:t>
            </w:r>
          </w:p>
          <w:p>
            <w:pPr>
              <w:pStyle w:val="69"/>
              <w:ind w:firstLine="420" w:firstLineChars="200"/>
              <w:jc w:val="both"/>
              <w:rPr>
                <w:rFonts w:cstheme="minorBidi"/>
                <w:color w:val="auto"/>
                <w:sz w:val="21"/>
                <w:szCs w:val="21"/>
              </w:rPr>
            </w:pPr>
            <w:r>
              <w:rPr>
                <w:rFonts w:hint="eastAsia" w:cstheme="minorBidi"/>
                <w:color w:val="auto"/>
                <w:sz w:val="21"/>
                <w:szCs w:val="21"/>
              </w:rPr>
              <w:t>四川铁道</w:t>
            </w:r>
            <w:r>
              <w:rPr>
                <w:rFonts w:cstheme="minorBidi"/>
                <w:color w:val="auto"/>
                <w:sz w:val="21"/>
                <w:szCs w:val="21"/>
              </w:rPr>
              <w:t>职业学院铁道供电技术专业教学资源库建设内容为《高铁变电所二次系统运行与维护》</w:t>
            </w:r>
            <w:r>
              <w:rPr>
                <w:rFonts w:hint="eastAsia" w:cstheme="minorBidi"/>
                <w:color w:val="auto"/>
                <w:sz w:val="21"/>
                <w:szCs w:val="21"/>
              </w:rPr>
              <w:t>。</w:t>
            </w:r>
          </w:p>
          <w:p>
            <w:pPr>
              <w:autoSpaceDE w:val="0"/>
              <w:autoSpaceDN w:val="0"/>
              <w:adjustRightInd w:val="0"/>
              <w:jc w:val="left"/>
              <w:rPr>
                <w:rFonts w:eastAsia="宋体" w:cs="宋体"/>
                <w:color w:val="000000"/>
                <w:sz w:val="21"/>
                <w:szCs w:val="21"/>
              </w:rPr>
            </w:pPr>
            <w:r>
              <w:rPr>
                <w:rFonts w:hint="eastAsia" w:eastAsia="宋体" w:cs="宋体"/>
                <w:color w:val="000000"/>
                <w:sz w:val="21"/>
                <w:szCs w:val="21"/>
              </w:rPr>
              <w:t>二、采购清单、技术参数及要求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pStyle w:val="69"/>
                    <w:jc w:val="center"/>
                    <w:rPr>
                      <w:sz w:val="21"/>
                      <w:szCs w:val="21"/>
                    </w:rPr>
                  </w:pPr>
                  <w:r>
                    <w:rPr>
                      <w:rFonts w:hint="eastAsia"/>
                      <w:sz w:val="21"/>
                      <w:szCs w:val="21"/>
                    </w:rPr>
                    <w:t>课程或教材</w:t>
                  </w:r>
                </w:p>
              </w:tc>
              <w:tc>
                <w:tcPr>
                  <w:tcW w:w="6804" w:type="dxa"/>
                </w:tcPr>
                <w:p>
                  <w:pPr>
                    <w:pStyle w:val="69"/>
                    <w:jc w:val="center"/>
                    <w:rPr>
                      <w:sz w:val="21"/>
                      <w:szCs w:val="21"/>
                    </w:rPr>
                  </w:pPr>
                  <w:r>
                    <w:rPr>
                      <w:rFonts w:hint="eastAsia"/>
                      <w:sz w:val="21"/>
                      <w:szCs w:val="21"/>
                    </w:rPr>
                    <w:t>技术参数要求及功能描述</w:t>
                  </w:r>
                </w:p>
                <w:p>
                  <w:pPr>
                    <w:pStyle w:val="69"/>
                    <w:jc w:val="center"/>
                    <w:rPr>
                      <w:sz w:val="21"/>
                      <w:szCs w:val="21"/>
                    </w:rPr>
                  </w:pPr>
                  <w:r>
                    <w:rPr>
                      <w:rFonts w:hint="eastAsia"/>
                      <w:sz w:val="21"/>
                      <w:szCs w:val="21"/>
                    </w:rPr>
                    <w:t>（含制作的个数、时长）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pStyle w:val="69"/>
                    <w:jc w:val="center"/>
                    <w:rPr>
                      <w:sz w:val="21"/>
                      <w:szCs w:val="21"/>
                    </w:rPr>
                  </w:pPr>
                  <w:r>
                    <w:rPr>
                      <w:rFonts w:hint="eastAsia"/>
                      <w:sz w:val="21"/>
                      <w:szCs w:val="21"/>
                    </w:rPr>
                    <w:t>高铁变电所二次系统运行与维护</w:t>
                  </w:r>
                </w:p>
              </w:tc>
              <w:tc>
                <w:tcPr>
                  <w:tcW w:w="6804" w:type="dxa"/>
                </w:tcPr>
                <w:p>
                  <w:pPr>
                    <w:pStyle w:val="69"/>
                    <w:ind w:firstLine="420" w:firstLineChars="200"/>
                    <w:jc w:val="both"/>
                    <w:rPr>
                      <w:sz w:val="21"/>
                      <w:szCs w:val="21"/>
                    </w:rPr>
                  </w:pPr>
                  <w:r>
                    <w:rPr>
                      <w:rFonts w:hint="eastAsia"/>
                      <w:sz w:val="21"/>
                      <w:szCs w:val="21"/>
                    </w:rPr>
                    <w:t>要求</w:t>
                  </w:r>
                  <w:r>
                    <w:rPr>
                      <w:sz w:val="21"/>
                      <w:szCs w:val="21"/>
                    </w:rPr>
                    <w:t>1</w:t>
                  </w:r>
                  <w:r>
                    <w:rPr>
                      <w:rFonts w:hint="eastAsia"/>
                      <w:sz w:val="21"/>
                      <w:szCs w:val="21"/>
                    </w:rPr>
                    <w:t>：融合</w:t>
                  </w:r>
                  <w:r>
                    <w:rPr>
                      <w:sz w:val="21"/>
                      <w:szCs w:val="21"/>
                    </w:rPr>
                    <w:t>“</w:t>
                  </w:r>
                  <w:r>
                    <w:rPr>
                      <w:rFonts w:hint="eastAsia"/>
                      <w:sz w:val="21"/>
                      <w:szCs w:val="21"/>
                    </w:rPr>
                    <w:t>变电检修工</w:t>
                  </w:r>
                  <w:r>
                    <w:rPr>
                      <w:sz w:val="21"/>
                      <w:szCs w:val="21"/>
                    </w:rPr>
                    <w:t>”</w:t>
                  </w:r>
                  <w:r>
                    <w:rPr>
                      <w:rFonts w:hint="eastAsia"/>
                      <w:sz w:val="21"/>
                      <w:szCs w:val="21"/>
                    </w:rPr>
                    <w:t>职业标准，分析高铁变电所二次系统运行与维护过程，提炼出</w:t>
                  </w:r>
                  <w:r>
                    <w:rPr>
                      <w:sz w:val="21"/>
                      <w:szCs w:val="21"/>
                    </w:rPr>
                    <w:t>“</w:t>
                  </w:r>
                  <w:r>
                    <w:rPr>
                      <w:rFonts w:hint="eastAsia"/>
                      <w:sz w:val="21"/>
                      <w:szCs w:val="21"/>
                    </w:rPr>
                    <w:t>变电检修工</w:t>
                  </w:r>
                  <w:r>
                    <w:rPr>
                      <w:sz w:val="21"/>
                      <w:szCs w:val="21"/>
                    </w:rPr>
                    <w:t>”</w:t>
                  </w:r>
                  <w:r>
                    <w:rPr>
                      <w:rFonts w:hint="eastAsia"/>
                      <w:sz w:val="21"/>
                      <w:szCs w:val="21"/>
                    </w:rPr>
                    <w:t>的典型工作任务，以此为基础分解该岗位职业能力和职业素质，结合本课程教学内容、方法与手段的改革，组织研究修订专业核心课程《高铁变电所二次系统运行与维护》课程标准。</w:t>
                  </w:r>
                  <w:r>
                    <w:rPr>
                      <w:sz w:val="21"/>
                      <w:szCs w:val="21"/>
                    </w:rPr>
                    <w:t xml:space="preserve"> </w:t>
                  </w:r>
                </w:p>
                <w:p>
                  <w:pPr>
                    <w:pStyle w:val="69"/>
                    <w:ind w:firstLine="420" w:firstLineChars="200"/>
                    <w:jc w:val="both"/>
                    <w:rPr>
                      <w:sz w:val="21"/>
                      <w:szCs w:val="21"/>
                    </w:rPr>
                  </w:pPr>
                  <w:r>
                    <w:rPr>
                      <w:rFonts w:hint="eastAsia"/>
                      <w:sz w:val="21"/>
                      <w:szCs w:val="21"/>
                    </w:rPr>
                    <w:t>要求</w:t>
                  </w:r>
                  <w:r>
                    <w:rPr>
                      <w:sz w:val="21"/>
                      <w:szCs w:val="21"/>
                    </w:rPr>
                    <w:t>2</w:t>
                  </w:r>
                  <w:r>
                    <w:rPr>
                      <w:rFonts w:hint="eastAsia"/>
                      <w:sz w:val="21"/>
                      <w:szCs w:val="21"/>
                    </w:rPr>
                    <w:t>：通过结构化设计开发专业核心课程《高铁变电所二次系统运行与维护》；</w:t>
                  </w:r>
                  <w:r>
                    <w:rPr>
                      <w:sz w:val="21"/>
                      <w:szCs w:val="21"/>
                    </w:rPr>
                    <w:t xml:space="preserve"> </w:t>
                  </w:r>
                </w:p>
                <w:p>
                  <w:pPr>
                    <w:pStyle w:val="69"/>
                    <w:ind w:firstLine="420" w:firstLineChars="200"/>
                    <w:jc w:val="both"/>
                    <w:rPr>
                      <w:sz w:val="21"/>
                      <w:szCs w:val="21"/>
                    </w:rPr>
                  </w:pPr>
                  <w:r>
                    <w:rPr>
                      <w:rFonts w:hint="eastAsia"/>
                      <w:sz w:val="21"/>
                      <w:szCs w:val="21"/>
                    </w:rPr>
                    <w:t>要求</w:t>
                  </w:r>
                  <w:r>
                    <w:rPr>
                      <w:sz w:val="21"/>
                      <w:szCs w:val="21"/>
                    </w:rPr>
                    <w:t>3</w:t>
                  </w:r>
                  <w:r>
                    <w:rPr>
                      <w:rFonts w:hint="eastAsia"/>
                      <w:sz w:val="21"/>
                      <w:szCs w:val="21"/>
                    </w:rPr>
                    <w:t>：建立规范化的、涵盖所有知识点和技能点的基本资源、拓展资源，实现资源冗余，满足四类用户的学习需求，实现能学辅教目标。其中：</w:t>
                  </w:r>
                  <w:r>
                    <w:rPr>
                      <w:sz w:val="21"/>
                      <w:szCs w:val="21"/>
                    </w:rPr>
                    <w:t xml:space="preserve"> </w:t>
                  </w:r>
                </w:p>
                <w:p>
                  <w:pPr>
                    <w:pStyle w:val="69"/>
                    <w:jc w:val="both"/>
                    <w:rPr>
                      <w:sz w:val="21"/>
                      <w:szCs w:val="21"/>
                    </w:rPr>
                  </w:pPr>
                  <w:r>
                    <w:rPr>
                      <w:rFonts w:hint="eastAsia"/>
                      <w:sz w:val="21"/>
                      <w:szCs w:val="21"/>
                    </w:rPr>
                    <w:t>素材资源总量不少于1200个；</w:t>
                  </w:r>
                </w:p>
                <w:p>
                  <w:pPr>
                    <w:pStyle w:val="69"/>
                    <w:jc w:val="both"/>
                    <w:rPr>
                      <w:sz w:val="21"/>
                      <w:szCs w:val="21"/>
                    </w:rPr>
                  </w:pPr>
                  <w:r>
                    <w:rPr>
                      <w:rFonts w:hint="eastAsia"/>
                      <w:sz w:val="21"/>
                      <w:szCs w:val="21"/>
                    </w:rPr>
                    <w:t>视频类素材不少于</w:t>
                  </w:r>
                  <w:r>
                    <w:rPr>
                      <w:sz w:val="21"/>
                      <w:szCs w:val="21"/>
                    </w:rPr>
                    <w:t>150</w:t>
                  </w:r>
                  <w:r>
                    <w:rPr>
                      <w:rFonts w:hint="eastAsia"/>
                      <w:sz w:val="21"/>
                      <w:szCs w:val="21"/>
                    </w:rPr>
                    <w:t>个，视频总时长不少于</w:t>
                  </w:r>
                  <w:r>
                    <w:rPr>
                      <w:sz w:val="21"/>
                      <w:szCs w:val="21"/>
                    </w:rPr>
                    <w:t>700</w:t>
                  </w:r>
                  <w:r>
                    <w:rPr>
                      <w:rFonts w:hint="eastAsia"/>
                      <w:sz w:val="21"/>
                      <w:szCs w:val="21"/>
                    </w:rPr>
                    <w:t>分钟；</w:t>
                  </w:r>
                  <w:r>
                    <w:rPr>
                      <w:sz w:val="21"/>
                      <w:szCs w:val="21"/>
                    </w:rPr>
                    <w:t xml:space="preserve"> </w:t>
                  </w:r>
                </w:p>
                <w:p>
                  <w:pPr>
                    <w:pStyle w:val="69"/>
                    <w:jc w:val="both"/>
                    <w:rPr>
                      <w:sz w:val="21"/>
                      <w:szCs w:val="21"/>
                    </w:rPr>
                  </w:pPr>
                  <w:r>
                    <w:rPr>
                      <w:rFonts w:hint="eastAsia"/>
                      <w:sz w:val="21"/>
                      <w:szCs w:val="21"/>
                    </w:rPr>
                    <w:t>动画类素材不少于</w:t>
                  </w:r>
                  <w:r>
                    <w:rPr>
                      <w:sz w:val="21"/>
                      <w:szCs w:val="21"/>
                    </w:rPr>
                    <w:t>20</w:t>
                  </w:r>
                  <w:r>
                    <w:rPr>
                      <w:rFonts w:hint="eastAsia"/>
                      <w:sz w:val="21"/>
                      <w:szCs w:val="21"/>
                    </w:rPr>
                    <w:t>个，动画总时长不少于</w:t>
                  </w:r>
                  <w:r>
                    <w:rPr>
                      <w:sz w:val="21"/>
                      <w:szCs w:val="21"/>
                    </w:rPr>
                    <w:t>40</w:t>
                  </w:r>
                  <w:r>
                    <w:rPr>
                      <w:rFonts w:hint="eastAsia"/>
                      <w:sz w:val="21"/>
                      <w:szCs w:val="21"/>
                    </w:rPr>
                    <w:t>分钟；</w:t>
                  </w:r>
                  <w:r>
                    <w:rPr>
                      <w:sz w:val="21"/>
                      <w:szCs w:val="21"/>
                    </w:rPr>
                    <w:t xml:space="preserve"> </w:t>
                  </w:r>
                </w:p>
                <w:p>
                  <w:pPr>
                    <w:pStyle w:val="69"/>
                    <w:jc w:val="both"/>
                    <w:rPr>
                      <w:sz w:val="21"/>
                      <w:szCs w:val="21"/>
                    </w:rPr>
                  </w:pPr>
                  <w:r>
                    <w:rPr>
                      <w:rFonts w:hint="eastAsia"/>
                      <w:sz w:val="21"/>
                      <w:szCs w:val="21"/>
                    </w:rPr>
                    <w:t>微课类素材资源不少于</w:t>
                  </w:r>
                  <w:r>
                    <w:rPr>
                      <w:sz w:val="21"/>
                      <w:szCs w:val="21"/>
                    </w:rPr>
                    <w:t>50</w:t>
                  </w:r>
                  <w:r>
                    <w:rPr>
                      <w:rFonts w:hint="eastAsia"/>
                      <w:sz w:val="21"/>
                      <w:szCs w:val="21"/>
                    </w:rPr>
                    <w:t>个；</w:t>
                  </w:r>
                  <w:r>
                    <w:rPr>
                      <w:sz w:val="21"/>
                      <w:szCs w:val="21"/>
                    </w:rPr>
                    <w:t xml:space="preserve"> </w:t>
                  </w:r>
                </w:p>
                <w:p>
                  <w:pPr>
                    <w:pStyle w:val="69"/>
                    <w:jc w:val="both"/>
                    <w:rPr>
                      <w:sz w:val="21"/>
                      <w:szCs w:val="21"/>
                    </w:rPr>
                  </w:pPr>
                  <w:r>
                    <w:rPr>
                      <w:rFonts w:hint="eastAsia"/>
                      <w:sz w:val="21"/>
                      <w:szCs w:val="21"/>
                    </w:rPr>
                    <w:t>其他非文本类素材资源不少于38</w:t>
                  </w:r>
                  <w:r>
                    <w:rPr>
                      <w:sz w:val="21"/>
                      <w:szCs w:val="21"/>
                    </w:rPr>
                    <w:t>0</w:t>
                  </w:r>
                  <w:r>
                    <w:rPr>
                      <w:rFonts w:hint="eastAsia"/>
                      <w:sz w:val="21"/>
                      <w:szCs w:val="21"/>
                    </w:rPr>
                    <w:t>个；</w:t>
                  </w:r>
                  <w:r>
                    <w:rPr>
                      <w:sz w:val="21"/>
                      <w:szCs w:val="21"/>
                    </w:rPr>
                    <w:t xml:space="preserve"> </w:t>
                  </w:r>
                </w:p>
                <w:p>
                  <w:pPr>
                    <w:pStyle w:val="69"/>
                    <w:jc w:val="both"/>
                    <w:rPr>
                      <w:sz w:val="21"/>
                      <w:szCs w:val="21"/>
                    </w:rPr>
                  </w:pPr>
                  <w:r>
                    <w:rPr>
                      <w:rFonts w:hint="eastAsia"/>
                      <w:sz w:val="21"/>
                      <w:szCs w:val="21"/>
                    </w:rPr>
                    <w:t>视频、动画、微课、课件、音频、交互式课件、虚拟仿真等质量符合资源库入库要求。</w:t>
                  </w:r>
                </w:p>
              </w:tc>
            </w:tr>
          </w:tbl>
          <w:p>
            <w:pPr>
              <w:autoSpaceDE w:val="0"/>
              <w:autoSpaceDN w:val="0"/>
              <w:adjustRightInd w:val="0"/>
              <w:jc w:val="left"/>
              <w:rPr>
                <w:rFonts w:eastAsia="宋体" w:cs="宋体"/>
                <w:color w:val="000000"/>
                <w:sz w:val="21"/>
                <w:szCs w:val="21"/>
              </w:rPr>
            </w:pPr>
            <w:r>
              <w:rPr>
                <w:rFonts w:hint="eastAsia" w:eastAsia="宋体" w:cs="宋体"/>
                <w:color w:val="000000"/>
                <w:sz w:val="21"/>
                <w:szCs w:val="21"/>
              </w:rPr>
              <w:t>三、技术服务要求</w:t>
            </w:r>
            <w:r>
              <w:rPr>
                <w:rFonts w:eastAsia="宋体" w:cs="宋体"/>
                <w:color w:val="000000"/>
                <w:sz w:val="21"/>
                <w:szCs w:val="21"/>
              </w:rPr>
              <w:t xml:space="preserve"> </w:t>
            </w:r>
          </w:p>
          <w:p>
            <w:pPr>
              <w:autoSpaceDE w:val="0"/>
              <w:autoSpaceDN w:val="0"/>
              <w:adjustRightInd w:val="0"/>
              <w:jc w:val="left"/>
              <w:rPr>
                <w:rFonts w:eastAsia="宋体" w:cs="宋体"/>
                <w:color w:val="000000"/>
                <w:sz w:val="21"/>
                <w:szCs w:val="21"/>
              </w:rPr>
            </w:pPr>
            <w:r>
              <w:rPr>
                <w:rFonts w:eastAsia="宋体" w:cs="宋体"/>
                <w:color w:val="000000"/>
                <w:sz w:val="21"/>
                <w:szCs w:val="21"/>
              </w:rPr>
              <w:t>1.</w:t>
            </w:r>
            <w:r>
              <w:rPr>
                <w:rFonts w:hint="eastAsia" w:eastAsia="宋体" w:cs="宋体"/>
                <w:color w:val="000000"/>
                <w:sz w:val="21"/>
                <w:szCs w:val="21"/>
              </w:rPr>
              <w:t>建设资源的安装</w:t>
            </w:r>
            <w:r>
              <w:rPr>
                <w:rFonts w:eastAsia="宋体" w:cs="宋体"/>
                <w:color w:val="000000"/>
                <w:sz w:val="21"/>
                <w:szCs w:val="21"/>
              </w:rPr>
              <w:t>:</w:t>
            </w:r>
            <w:r>
              <w:rPr>
                <w:rFonts w:hint="eastAsia" w:eastAsia="宋体" w:cs="宋体"/>
                <w:color w:val="000000"/>
                <w:sz w:val="21"/>
                <w:szCs w:val="21"/>
              </w:rPr>
              <w:t>成交人必须向采购人提供本项目所有建设资源的安装和维护服务的全部内容，并配合使用单位完成本次采购所有建设资源的上传工作。</w:t>
            </w:r>
            <w:r>
              <w:rPr>
                <w:rFonts w:eastAsia="宋体" w:cs="宋体"/>
                <w:color w:val="000000"/>
                <w:sz w:val="21"/>
                <w:szCs w:val="21"/>
              </w:rPr>
              <w:t xml:space="preserve"> </w:t>
            </w:r>
          </w:p>
          <w:p>
            <w:pPr>
              <w:rPr>
                <w:rFonts w:eastAsia="宋体" w:cs="宋体"/>
                <w:color w:val="000000"/>
                <w:sz w:val="21"/>
                <w:szCs w:val="21"/>
              </w:rPr>
            </w:pPr>
            <w:r>
              <w:rPr>
                <w:rFonts w:eastAsia="宋体" w:cs="宋体"/>
                <w:color w:val="000000"/>
                <w:sz w:val="21"/>
                <w:szCs w:val="21"/>
              </w:rPr>
              <w:t>2.</w:t>
            </w:r>
            <w:r>
              <w:rPr>
                <w:rFonts w:hint="eastAsia" w:eastAsia="宋体" w:cs="宋体"/>
                <w:color w:val="000000"/>
                <w:sz w:val="21"/>
                <w:szCs w:val="21"/>
              </w:rPr>
              <w:t>所有建设资源需满足以下技术要求：</w:t>
            </w:r>
          </w:p>
          <w:p>
            <w:pPr>
              <w:rPr>
                <w:sz w:val="21"/>
                <w:szCs w:val="21"/>
              </w:rPr>
            </w:pPr>
            <w:r>
              <w:rPr>
                <w:rFonts w:hint="eastAsia"/>
                <w:sz w:val="21"/>
                <w:szCs w:val="21"/>
              </w:rPr>
              <w:t>媒体类型技术要求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rPr>
                      <w:rFonts w:asciiTheme="minorEastAsia" w:hAnsiTheme="minorEastAsia"/>
                      <w:sz w:val="21"/>
                      <w:szCs w:val="21"/>
                    </w:rPr>
                  </w:pPr>
                  <w:r>
                    <w:rPr>
                      <w:rFonts w:hint="eastAsia" w:asciiTheme="minorEastAsia" w:hAnsiTheme="minorEastAsia"/>
                      <w:sz w:val="21"/>
                      <w:szCs w:val="21"/>
                    </w:rPr>
                    <w:t>类型</w:t>
                  </w:r>
                </w:p>
              </w:tc>
              <w:tc>
                <w:tcPr>
                  <w:tcW w:w="7226" w:type="dxa"/>
                </w:tcPr>
                <w:p>
                  <w:pPr>
                    <w:jc w:val="center"/>
                    <w:rPr>
                      <w:rFonts w:asciiTheme="minorEastAsia" w:hAnsiTheme="minorEastAsia"/>
                      <w:sz w:val="21"/>
                      <w:szCs w:val="21"/>
                    </w:rPr>
                  </w:pPr>
                  <w:r>
                    <w:rPr>
                      <w:rFonts w:hint="eastAsia" w:asciiTheme="minorEastAsia" w:hAnsiTheme="minorEastAsia"/>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asciiTheme="minorEastAsia" w:hAnsiTheme="minorEastAsia"/>
                      <w:sz w:val="21"/>
                      <w:szCs w:val="21"/>
                    </w:rPr>
                  </w:pPr>
                  <w:r>
                    <w:rPr>
                      <w:rFonts w:hint="eastAsia" w:asciiTheme="minorEastAsia" w:hAnsiTheme="minorEastAsia"/>
                      <w:color w:val="000000"/>
                      <w:sz w:val="21"/>
                      <w:szCs w:val="21"/>
                    </w:rPr>
                    <w:t>视频</w:t>
                  </w:r>
                </w:p>
              </w:tc>
              <w:tc>
                <w:tcPr>
                  <w:tcW w:w="7226" w:type="dxa"/>
                </w:tcPr>
                <w:p>
                  <w:pPr>
                    <w:rPr>
                      <w:rFonts w:asciiTheme="minorEastAsia" w:hAnsiTheme="minorEastAsia"/>
                      <w:color w:val="000000"/>
                      <w:sz w:val="21"/>
                      <w:szCs w:val="21"/>
                    </w:rPr>
                  </w:pPr>
                  <w:r>
                    <w:rPr>
                      <w:rFonts w:hint="eastAsia" w:asciiTheme="minorEastAsia" w:hAnsiTheme="minorEastAsia"/>
                      <w:color w:val="000000"/>
                      <w:sz w:val="21"/>
                      <w:szCs w:val="21"/>
                    </w:rPr>
                    <w:t>1.视频压缩格式及技术参数</w:t>
                  </w:r>
                </w:p>
                <w:p>
                  <w:pPr>
                    <w:rPr>
                      <w:rFonts w:asciiTheme="minorEastAsia" w:hAnsiTheme="minorEastAsia"/>
                      <w:color w:val="000000"/>
                      <w:sz w:val="21"/>
                      <w:szCs w:val="21"/>
                    </w:rPr>
                  </w:pPr>
                  <w:r>
                    <w:rPr>
                      <w:rFonts w:hint="eastAsia" w:asciiTheme="minorEastAsia" w:hAnsiTheme="minorEastAsia"/>
                      <w:color w:val="000000"/>
                      <w:sz w:val="21"/>
                      <w:szCs w:val="21"/>
                    </w:rPr>
                    <w:t>（1）视频压缩采用H.264/AVC (MPEG-4 Part10)编码、使用二次编码、不包含字幕的MP4格式。</w:t>
                  </w:r>
                </w:p>
                <w:p>
                  <w:pPr>
                    <w:rPr>
                      <w:rFonts w:asciiTheme="minorEastAsia" w:hAnsiTheme="minorEastAsia"/>
                      <w:color w:val="000000"/>
                      <w:sz w:val="21"/>
                      <w:szCs w:val="21"/>
                    </w:rPr>
                  </w:pPr>
                  <w:r>
                    <w:rPr>
                      <w:rFonts w:hint="eastAsia" w:asciiTheme="minorEastAsia" w:hAnsiTheme="minorEastAsia"/>
                      <w:color w:val="000000"/>
                      <w:sz w:val="21"/>
                      <w:szCs w:val="21"/>
                    </w:rPr>
                    <w:t>（2）视频码流率：动态码流的最低码率不得低于1024Kb</w:t>
                  </w:r>
                </w:p>
                <w:p>
                  <w:pPr>
                    <w:rPr>
                      <w:rFonts w:asciiTheme="minorEastAsia" w:hAnsiTheme="minorEastAsia"/>
                      <w:color w:val="000000"/>
                      <w:sz w:val="21"/>
                      <w:szCs w:val="21"/>
                    </w:rPr>
                  </w:pPr>
                  <w:r>
                    <w:rPr>
                      <w:rFonts w:hint="eastAsia" w:asciiTheme="minorEastAsia" w:hAnsiTheme="minorEastAsia"/>
                      <w:color w:val="000000"/>
                      <w:sz w:val="21"/>
                      <w:szCs w:val="21"/>
                    </w:rPr>
                    <w:t>（3）视频分辨率</w:t>
                  </w:r>
                </w:p>
                <w:p>
                  <w:pPr>
                    <w:rPr>
                      <w:rFonts w:asciiTheme="minorEastAsia" w:hAnsiTheme="minorEastAsia"/>
                      <w:color w:val="000000"/>
                      <w:sz w:val="21"/>
                      <w:szCs w:val="21"/>
                    </w:rPr>
                  </w:pPr>
                  <w:r>
                    <w:rPr>
                      <w:rFonts w:hint="eastAsia" w:asciiTheme="minorEastAsia" w:hAnsiTheme="minorEastAsia"/>
                      <w:color w:val="000000"/>
                      <w:sz w:val="21"/>
                      <w:szCs w:val="21"/>
                    </w:rPr>
                    <w:t>前期采用高清16:9拍摄，请设定为 1280×720或1920×1080。</w:t>
                  </w:r>
                </w:p>
                <w:p>
                  <w:pPr>
                    <w:rPr>
                      <w:rFonts w:asciiTheme="minorEastAsia" w:hAnsiTheme="minorEastAsia"/>
                      <w:color w:val="000000"/>
                      <w:sz w:val="21"/>
                      <w:szCs w:val="21"/>
                    </w:rPr>
                  </w:pPr>
                  <w:r>
                    <w:rPr>
                      <w:rFonts w:hint="eastAsia" w:asciiTheme="minorEastAsia" w:hAnsiTheme="minorEastAsia"/>
                      <w:color w:val="000000"/>
                      <w:sz w:val="21"/>
                      <w:szCs w:val="21"/>
                    </w:rPr>
                    <w:t>（4）视频画幅宽高比</w:t>
                  </w:r>
                </w:p>
                <w:p>
                  <w:pPr>
                    <w:rPr>
                      <w:rFonts w:asciiTheme="minorEastAsia" w:hAnsiTheme="minorEastAsia"/>
                      <w:color w:val="000000"/>
                      <w:sz w:val="21"/>
                      <w:szCs w:val="21"/>
                    </w:rPr>
                  </w:pPr>
                  <w:r>
                    <w:rPr>
                      <w:rFonts w:hint="eastAsia" w:asciiTheme="minorEastAsia" w:hAnsiTheme="minorEastAsia"/>
                      <w:color w:val="000000"/>
                      <w:sz w:val="21"/>
                      <w:szCs w:val="21"/>
                    </w:rPr>
                    <w:t>视频画幅宽高比为16:9，分辨率设定为1280×720或1920×1080</w:t>
                  </w:r>
                </w:p>
                <w:p>
                  <w:pPr>
                    <w:rPr>
                      <w:rFonts w:asciiTheme="minorEastAsia" w:hAnsiTheme="minorEastAsia"/>
                      <w:color w:val="000000"/>
                      <w:sz w:val="21"/>
                      <w:szCs w:val="21"/>
                    </w:rPr>
                  </w:pPr>
                  <w:r>
                    <w:rPr>
                      <w:rFonts w:hint="eastAsia" w:asciiTheme="minorEastAsia" w:hAnsiTheme="minorEastAsia"/>
                      <w:color w:val="000000"/>
                      <w:sz w:val="21"/>
                      <w:szCs w:val="21"/>
                    </w:rPr>
                    <w:t>（5）视频帧率为25帧/秒</w:t>
                  </w:r>
                </w:p>
                <w:p>
                  <w:pPr>
                    <w:rPr>
                      <w:rFonts w:asciiTheme="minorEastAsia" w:hAnsiTheme="minorEastAsia"/>
                      <w:color w:val="000000"/>
                      <w:sz w:val="21"/>
                      <w:szCs w:val="21"/>
                    </w:rPr>
                  </w:pPr>
                  <w:r>
                    <w:rPr>
                      <w:rFonts w:hint="eastAsia" w:asciiTheme="minorEastAsia" w:hAnsiTheme="minorEastAsia"/>
                      <w:color w:val="000000"/>
                      <w:sz w:val="21"/>
                      <w:szCs w:val="21"/>
                    </w:rPr>
                    <w:t>（6）扫描方式采用逐行扫描</w:t>
                  </w:r>
                </w:p>
                <w:p>
                  <w:pPr>
                    <w:rPr>
                      <w:rFonts w:asciiTheme="minorEastAsia" w:hAnsiTheme="minorEastAsia"/>
                      <w:color w:val="000000"/>
                      <w:sz w:val="21"/>
                      <w:szCs w:val="21"/>
                    </w:rPr>
                  </w:pPr>
                  <w:r>
                    <w:rPr>
                      <w:rFonts w:hint="eastAsia" w:asciiTheme="minorEastAsia" w:hAnsiTheme="minorEastAsia"/>
                      <w:color w:val="000000"/>
                      <w:sz w:val="21"/>
                      <w:szCs w:val="21"/>
                    </w:rPr>
                    <w:t>2.封装</w:t>
                  </w:r>
                </w:p>
                <w:p>
                  <w:pPr>
                    <w:rPr>
                      <w:rFonts w:asciiTheme="minorEastAsia" w:hAnsiTheme="minorEastAsia"/>
                      <w:sz w:val="21"/>
                      <w:szCs w:val="21"/>
                    </w:rPr>
                  </w:pPr>
                  <w:r>
                    <w:rPr>
                      <w:rFonts w:hint="eastAsia" w:asciiTheme="minorEastAsia" w:hAnsiTheme="minorEastAsia"/>
                      <w:color w:val="000000"/>
                      <w:sz w:val="21"/>
                      <w:szCs w:val="21"/>
                    </w:rPr>
                    <w:t>视频采用MP4封装，字幕文件可采用SRT格式，中英文字幕需分成两个SRT文件。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asciiTheme="minorEastAsia" w:hAnsiTheme="minorEastAsia"/>
                      <w:sz w:val="21"/>
                      <w:szCs w:val="21"/>
                    </w:rPr>
                  </w:pPr>
                  <w:r>
                    <w:rPr>
                      <w:rFonts w:hint="eastAsia" w:asciiTheme="minorEastAsia" w:hAnsiTheme="minorEastAsia"/>
                      <w:color w:val="000000"/>
                      <w:sz w:val="21"/>
                      <w:szCs w:val="21"/>
                    </w:rPr>
                    <w:t>音频</w:t>
                  </w:r>
                </w:p>
              </w:tc>
              <w:tc>
                <w:tcPr>
                  <w:tcW w:w="7226" w:type="dxa"/>
                </w:tcPr>
                <w:p>
                  <w:pPr>
                    <w:rPr>
                      <w:rFonts w:asciiTheme="minorEastAsia" w:hAnsiTheme="minorEastAsia"/>
                      <w:color w:val="000000"/>
                      <w:sz w:val="21"/>
                      <w:szCs w:val="21"/>
                    </w:rPr>
                  </w:pPr>
                  <w:r>
                    <w:rPr>
                      <w:rFonts w:hint="eastAsia" w:asciiTheme="minorEastAsia" w:hAnsiTheme="minorEastAsia"/>
                      <w:color w:val="000000"/>
                      <w:sz w:val="21"/>
                      <w:szCs w:val="21"/>
                    </w:rPr>
                    <w:t>1.音频压缩格式及技术参数</w:t>
                  </w:r>
                </w:p>
                <w:p>
                  <w:pPr>
                    <w:rPr>
                      <w:rFonts w:asciiTheme="minorEastAsia" w:hAnsiTheme="minorEastAsia"/>
                      <w:color w:val="000000"/>
                      <w:sz w:val="21"/>
                      <w:szCs w:val="21"/>
                    </w:rPr>
                  </w:pPr>
                  <w:r>
                    <w:rPr>
                      <w:rFonts w:hint="eastAsia" w:asciiTheme="minorEastAsia" w:hAnsiTheme="minorEastAsia"/>
                      <w:color w:val="000000"/>
                      <w:sz w:val="21"/>
                      <w:szCs w:val="21"/>
                    </w:rPr>
                    <w:t>（1）音频压缩采用AAC(MPEG4 Part3)格式</w:t>
                  </w:r>
                </w:p>
                <w:p>
                  <w:pPr>
                    <w:rPr>
                      <w:rFonts w:asciiTheme="minorEastAsia" w:hAnsiTheme="minorEastAsia"/>
                      <w:color w:val="000000"/>
                      <w:sz w:val="21"/>
                      <w:szCs w:val="21"/>
                    </w:rPr>
                  </w:pPr>
                  <w:r>
                    <w:rPr>
                      <w:rFonts w:hint="eastAsia" w:asciiTheme="minorEastAsia" w:hAnsiTheme="minorEastAsia"/>
                      <w:color w:val="000000"/>
                      <w:sz w:val="21"/>
                      <w:szCs w:val="21"/>
                    </w:rPr>
                    <w:t>（2）采样率48KHz</w:t>
                  </w:r>
                </w:p>
                <w:p>
                  <w:pPr>
                    <w:rPr>
                      <w:rFonts w:asciiTheme="minorEastAsia" w:hAnsiTheme="minorEastAsia"/>
                      <w:sz w:val="21"/>
                      <w:szCs w:val="21"/>
                    </w:rPr>
                  </w:pPr>
                  <w:r>
                    <w:rPr>
                      <w:rFonts w:hint="eastAsia" w:asciiTheme="minorEastAsia" w:hAnsiTheme="minorEastAsia"/>
                      <w:color w:val="000000"/>
                      <w:sz w:val="21"/>
                      <w:szCs w:val="21"/>
                    </w:rPr>
                    <w:t>（3）音频码流率128Kbps (恒定)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asciiTheme="minorEastAsia" w:hAnsiTheme="minorEastAsia"/>
                      <w:sz w:val="21"/>
                      <w:szCs w:val="21"/>
                    </w:rPr>
                  </w:pPr>
                  <w:r>
                    <w:rPr>
                      <w:rFonts w:hint="eastAsia" w:asciiTheme="minorEastAsia" w:hAnsiTheme="minorEastAsia"/>
                      <w:color w:val="000000"/>
                      <w:sz w:val="21"/>
                      <w:szCs w:val="21"/>
                    </w:rPr>
                    <w:t>动画</w:t>
                  </w:r>
                </w:p>
              </w:tc>
              <w:tc>
                <w:tcPr>
                  <w:tcW w:w="7226" w:type="dxa"/>
                </w:tcPr>
                <w:p>
                  <w:pPr>
                    <w:rPr>
                      <w:rFonts w:asciiTheme="minorEastAsia" w:hAnsiTheme="minorEastAsia"/>
                      <w:color w:val="000000"/>
                      <w:sz w:val="21"/>
                      <w:szCs w:val="21"/>
                    </w:rPr>
                  </w:pPr>
                  <w:r>
                    <w:rPr>
                      <w:rFonts w:hint="eastAsia" w:asciiTheme="minorEastAsia" w:hAnsiTheme="minorEastAsia"/>
                      <w:color w:val="000000"/>
                      <w:sz w:val="21"/>
                      <w:szCs w:val="21"/>
                    </w:rPr>
                    <w:t>1. 二维动画素材技术要求</w:t>
                  </w:r>
                </w:p>
                <w:p>
                  <w:pPr>
                    <w:rPr>
                      <w:rFonts w:asciiTheme="minorEastAsia" w:hAnsiTheme="minorEastAsia"/>
                      <w:color w:val="000000"/>
                      <w:sz w:val="21"/>
                      <w:szCs w:val="21"/>
                    </w:rPr>
                  </w:pPr>
                  <w:r>
                    <w:rPr>
                      <w:rFonts w:hint="eastAsia" w:asciiTheme="minorEastAsia" w:hAnsiTheme="minorEastAsia"/>
                      <w:color w:val="000000"/>
                      <w:sz w:val="21"/>
                      <w:szCs w:val="21"/>
                    </w:rPr>
                    <w:t>（1）课件的开始要有醒目的标题，标题要能够体现课件所表现的内容。</w:t>
                  </w:r>
                </w:p>
                <w:p>
                  <w:pPr>
                    <w:rPr>
                      <w:rFonts w:asciiTheme="minorEastAsia" w:hAnsiTheme="minorEastAsia"/>
                      <w:color w:val="000000"/>
                      <w:sz w:val="21"/>
                      <w:szCs w:val="21"/>
                    </w:rPr>
                  </w:pPr>
                  <w:r>
                    <w:rPr>
                      <w:rFonts w:hint="eastAsia" w:asciiTheme="minorEastAsia" w:hAnsiTheme="minorEastAsia"/>
                      <w:color w:val="000000"/>
                      <w:sz w:val="21"/>
                      <w:szCs w:val="21"/>
                    </w:rPr>
                    <w:t>（2）文字要醒目，避免使用与背景色相近的颜色。</w:t>
                  </w:r>
                </w:p>
                <w:p>
                  <w:pPr>
                    <w:rPr>
                      <w:rFonts w:asciiTheme="minorEastAsia" w:hAnsiTheme="minorEastAsia"/>
                      <w:color w:val="000000"/>
                      <w:sz w:val="21"/>
                      <w:szCs w:val="21"/>
                    </w:rPr>
                  </w:pPr>
                  <w:r>
                    <w:rPr>
                      <w:rFonts w:hint="eastAsia" w:asciiTheme="minorEastAsia" w:hAnsiTheme="minorEastAsia"/>
                      <w:color w:val="000000"/>
                      <w:sz w:val="21"/>
                      <w:szCs w:val="21"/>
                    </w:rPr>
                    <w:t>（3）动画色彩造型应和谐，画面简洁清晰，界面友好，交互设计合理，操作简单。</w:t>
                  </w:r>
                </w:p>
                <w:p>
                  <w:pPr>
                    <w:rPr>
                      <w:rFonts w:asciiTheme="minorEastAsia" w:hAnsiTheme="minorEastAsia"/>
                      <w:color w:val="000000"/>
                      <w:sz w:val="21"/>
                      <w:szCs w:val="21"/>
                    </w:rPr>
                  </w:pPr>
                  <w:r>
                    <w:rPr>
                      <w:rFonts w:hint="eastAsia" w:asciiTheme="minorEastAsia" w:hAnsiTheme="minorEastAsia"/>
                      <w:color w:val="000000"/>
                      <w:sz w:val="21"/>
                      <w:szCs w:val="21"/>
                    </w:rPr>
                    <w:t>（4）动画连续，节奏合适，帧和帧之间的关联性要强。</w:t>
                  </w:r>
                </w:p>
                <w:p>
                  <w:pPr>
                    <w:rPr>
                      <w:rFonts w:asciiTheme="minorEastAsia" w:hAnsiTheme="minorEastAsia"/>
                      <w:color w:val="000000"/>
                      <w:sz w:val="21"/>
                      <w:szCs w:val="21"/>
                    </w:rPr>
                  </w:pPr>
                  <w:r>
                    <w:rPr>
                      <w:rFonts w:hint="eastAsia" w:asciiTheme="minorEastAsia" w:hAnsiTheme="minorEastAsia"/>
                      <w:color w:val="000000"/>
                      <w:sz w:val="21"/>
                      <w:szCs w:val="21"/>
                    </w:rPr>
                    <w:t>（5）如果有解说，配音应标准，无噪音，声音悦耳，音量适当，快慢适度，并提供控制解说的开关。</w:t>
                  </w:r>
                </w:p>
                <w:p>
                  <w:pPr>
                    <w:rPr>
                      <w:rFonts w:asciiTheme="minorEastAsia" w:hAnsiTheme="minorEastAsia"/>
                      <w:color w:val="000000"/>
                      <w:sz w:val="21"/>
                      <w:szCs w:val="21"/>
                    </w:rPr>
                  </w:pPr>
                  <w:r>
                    <w:rPr>
                      <w:rFonts w:hint="eastAsia" w:asciiTheme="minorEastAsia" w:hAnsiTheme="minorEastAsia"/>
                      <w:color w:val="000000"/>
                      <w:sz w:val="21"/>
                      <w:szCs w:val="21"/>
                    </w:rPr>
                    <w:t>（6）静止画面时间不超过5秒钟。动画演播过程要流畅。</w:t>
                  </w:r>
                </w:p>
                <w:p>
                  <w:pPr>
                    <w:rPr>
                      <w:rFonts w:asciiTheme="minorEastAsia" w:hAnsiTheme="minorEastAsia"/>
                      <w:color w:val="000000"/>
                      <w:sz w:val="21"/>
                      <w:szCs w:val="21"/>
                    </w:rPr>
                  </w:pPr>
                  <w:r>
                    <w:rPr>
                      <w:rFonts w:hint="eastAsia" w:asciiTheme="minorEastAsia" w:hAnsiTheme="minorEastAsia"/>
                      <w:color w:val="000000"/>
                      <w:sz w:val="21"/>
                      <w:szCs w:val="21"/>
                    </w:rPr>
                    <w:t>（7）一般情况下，应设置暂停与播放控制按钮，当动画时间较长时应设置进度拖动条。</w:t>
                  </w:r>
                </w:p>
                <w:p>
                  <w:pPr>
                    <w:rPr>
                      <w:rFonts w:asciiTheme="minorEastAsia" w:hAnsiTheme="minorEastAsia"/>
                      <w:color w:val="000000"/>
                      <w:sz w:val="21"/>
                      <w:szCs w:val="21"/>
                    </w:rPr>
                  </w:pPr>
                  <w:r>
                    <w:rPr>
                      <w:rFonts w:hint="eastAsia" w:asciiTheme="minorEastAsia" w:hAnsiTheme="minorEastAsia"/>
                      <w:color w:val="000000"/>
                      <w:sz w:val="21"/>
                      <w:szCs w:val="21"/>
                    </w:rPr>
                    <w:t>（8）存储格式为swf、mp4两种格式。</w:t>
                  </w:r>
                </w:p>
                <w:p>
                  <w:pPr>
                    <w:rPr>
                      <w:rFonts w:asciiTheme="minorEastAsia" w:hAnsiTheme="minorEastAsia"/>
                      <w:color w:val="000000"/>
                      <w:sz w:val="21"/>
                      <w:szCs w:val="21"/>
                    </w:rPr>
                  </w:pPr>
                  <w:r>
                    <w:rPr>
                      <w:rFonts w:hint="eastAsia" w:asciiTheme="minorEastAsia" w:hAnsiTheme="minorEastAsia"/>
                      <w:color w:val="000000"/>
                      <w:sz w:val="21"/>
                      <w:szCs w:val="21"/>
                    </w:rPr>
                    <w:t>（9）制作版本要求：Flash CS6及以上；脚本：AS3.0</w:t>
                  </w:r>
                </w:p>
                <w:p>
                  <w:pPr>
                    <w:rPr>
                      <w:rFonts w:asciiTheme="minorEastAsia" w:hAnsiTheme="minorEastAsia"/>
                      <w:color w:val="000000"/>
                      <w:sz w:val="21"/>
                      <w:szCs w:val="21"/>
                    </w:rPr>
                  </w:pPr>
                  <w:r>
                    <w:rPr>
                      <w:rFonts w:hint="eastAsia" w:asciiTheme="minorEastAsia" w:hAnsiTheme="minorEastAsia"/>
                      <w:color w:val="000000"/>
                      <w:sz w:val="21"/>
                      <w:szCs w:val="21"/>
                    </w:rPr>
                    <w:t>2. 三维动画素材技术要求</w:t>
                  </w:r>
                </w:p>
                <w:p>
                  <w:pPr>
                    <w:rPr>
                      <w:rFonts w:asciiTheme="minorEastAsia" w:hAnsiTheme="minorEastAsia"/>
                      <w:color w:val="000000"/>
                      <w:sz w:val="21"/>
                      <w:szCs w:val="21"/>
                    </w:rPr>
                  </w:pPr>
                  <w:r>
                    <w:rPr>
                      <w:rFonts w:hint="eastAsia" w:asciiTheme="minorEastAsia" w:hAnsiTheme="minorEastAsia"/>
                      <w:color w:val="000000"/>
                      <w:sz w:val="21"/>
                      <w:szCs w:val="21"/>
                    </w:rPr>
                    <w:t>（1）建议以pdf文档嵌入u3d格式三维动画资源文件方式；</w:t>
                  </w:r>
                </w:p>
                <w:p>
                  <w:pPr>
                    <w:rPr>
                      <w:rFonts w:asciiTheme="minorEastAsia" w:hAnsiTheme="minorEastAsia"/>
                      <w:color w:val="000000"/>
                      <w:sz w:val="21"/>
                      <w:szCs w:val="21"/>
                    </w:rPr>
                  </w:pPr>
                  <w:r>
                    <w:rPr>
                      <w:rFonts w:hint="eastAsia" w:asciiTheme="minorEastAsia" w:hAnsiTheme="minorEastAsia"/>
                      <w:color w:val="000000"/>
                      <w:sz w:val="21"/>
                      <w:szCs w:val="21"/>
                    </w:rPr>
                    <w:t xml:space="preserve">（2）资源表现文字在pdf上显示； </w:t>
                  </w:r>
                </w:p>
                <w:p>
                  <w:pPr>
                    <w:rPr>
                      <w:rFonts w:asciiTheme="minorEastAsia" w:hAnsiTheme="minorEastAsia"/>
                      <w:color w:val="000000"/>
                      <w:sz w:val="21"/>
                      <w:szCs w:val="21"/>
                    </w:rPr>
                  </w:pPr>
                  <w:r>
                    <w:rPr>
                      <w:rFonts w:hint="eastAsia" w:asciiTheme="minorEastAsia" w:hAnsiTheme="minorEastAsia"/>
                      <w:color w:val="000000"/>
                      <w:sz w:val="21"/>
                      <w:szCs w:val="21"/>
                    </w:rPr>
                    <w:t>（3）U3d动画色彩造型应和谐，画面简洁清晰，</w:t>
                  </w:r>
                </w:p>
                <w:p>
                  <w:pPr>
                    <w:rPr>
                      <w:rFonts w:asciiTheme="minorEastAsia" w:hAnsiTheme="minorEastAsia"/>
                      <w:color w:val="000000"/>
                      <w:sz w:val="21"/>
                      <w:szCs w:val="21"/>
                    </w:rPr>
                  </w:pPr>
                  <w:r>
                    <w:rPr>
                      <w:rFonts w:hint="eastAsia" w:asciiTheme="minorEastAsia" w:hAnsiTheme="minorEastAsia"/>
                      <w:color w:val="000000"/>
                      <w:sz w:val="21"/>
                      <w:szCs w:val="21"/>
                    </w:rPr>
                    <w:t>（4）动画连续，节奏合适，帧和帧之间的关联性要强。</w:t>
                  </w:r>
                </w:p>
                <w:p>
                  <w:pPr>
                    <w:rPr>
                      <w:rFonts w:asciiTheme="minorEastAsia" w:hAnsiTheme="minorEastAsia"/>
                      <w:color w:val="000000"/>
                      <w:sz w:val="21"/>
                      <w:szCs w:val="21"/>
                    </w:rPr>
                  </w:pPr>
                  <w:r>
                    <w:rPr>
                      <w:rFonts w:hint="eastAsia" w:asciiTheme="minorEastAsia" w:hAnsiTheme="minorEastAsia"/>
                      <w:color w:val="000000"/>
                      <w:sz w:val="21"/>
                      <w:szCs w:val="21"/>
                    </w:rPr>
                    <w:t>（5）如果有解说，配音应标准，无噪音，声音悦耳，音量适当，快慢适度</w:t>
                  </w:r>
                </w:p>
                <w:p>
                  <w:pPr>
                    <w:rPr>
                      <w:rFonts w:asciiTheme="minorEastAsia" w:hAnsiTheme="minorEastAsia"/>
                      <w:color w:val="000000"/>
                      <w:sz w:val="21"/>
                      <w:szCs w:val="21"/>
                    </w:rPr>
                  </w:pPr>
                  <w:r>
                    <w:rPr>
                      <w:rFonts w:hint="eastAsia" w:asciiTheme="minorEastAsia" w:hAnsiTheme="minorEastAsia"/>
                      <w:color w:val="000000"/>
                      <w:sz w:val="21"/>
                      <w:szCs w:val="21"/>
                    </w:rPr>
                    <w:t>（6）静止画面时间不超过5秒钟。动画演播过程要流畅。</w:t>
                  </w:r>
                </w:p>
                <w:p>
                  <w:pPr>
                    <w:rPr>
                      <w:rFonts w:asciiTheme="minorEastAsia" w:hAnsiTheme="minorEastAsia"/>
                      <w:color w:val="000000"/>
                      <w:sz w:val="21"/>
                      <w:szCs w:val="21"/>
                    </w:rPr>
                  </w:pPr>
                  <w:r>
                    <w:rPr>
                      <w:rFonts w:hint="eastAsia" w:asciiTheme="minorEastAsia" w:hAnsiTheme="minorEastAsia"/>
                      <w:color w:val="000000"/>
                      <w:sz w:val="21"/>
                      <w:szCs w:val="21"/>
                    </w:rPr>
                    <w:t>（7）存储格式为pdf格式。另提交MP4格式。</w:t>
                  </w:r>
                </w:p>
                <w:p>
                  <w:pPr>
                    <w:rPr>
                      <w:rFonts w:asciiTheme="minorEastAsia" w:hAnsiTheme="minorEastAsia"/>
                      <w:sz w:val="21"/>
                      <w:szCs w:val="21"/>
                    </w:rPr>
                  </w:pPr>
                  <w:r>
                    <w:rPr>
                      <w:rFonts w:hint="eastAsia" w:asciiTheme="minorEastAsia" w:hAnsiTheme="minorEastAsia"/>
                      <w:color w:val="000000"/>
                      <w:sz w:val="21"/>
                      <w:szCs w:val="21"/>
                    </w:rPr>
                    <w:t>（8）生成u3d格式文件的原始文件，如3Dmax、Maya文件等。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asciiTheme="minorEastAsia" w:hAnsiTheme="minorEastAsia"/>
                      <w:sz w:val="21"/>
                      <w:szCs w:val="21"/>
                    </w:rPr>
                  </w:pPr>
                  <w:r>
                    <w:rPr>
                      <w:rFonts w:hint="eastAsia" w:asciiTheme="minorEastAsia" w:hAnsiTheme="minorEastAsia"/>
                      <w:color w:val="000000"/>
                      <w:sz w:val="21"/>
                      <w:szCs w:val="21"/>
                    </w:rPr>
                    <w:t>微课</w:t>
                  </w:r>
                </w:p>
              </w:tc>
              <w:tc>
                <w:tcPr>
                  <w:tcW w:w="7226" w:type="dxa"/>
                </w:tcPr>
                <w:p>
                  <w:pPr>
                    <w:rPr>
                      <w:rFonts w:asciiTheme="minorEastAsia" w:hAnsiTheme="minorEastAsia"/>
                      <w:color w:val="000000"/>
                      <w:sz w:val="21"/>
                      <w:szCs w:val="21"/>
                    </w:rPr>
                  </w:pPr>
                  <w:r>
                    <w:rPr>
                      <w:rFonts w:hint="eastAsia" w:asciiTheme="minorEastAsia" w:hAnsiTheme="minorEastAsia"/>
                      <w:color w:val="000000"/>
                      <w:sz w:val="21"/>
                      <w:szCs w:val="21"/>
                    </w:rPr>
                    <w:t>1.微视频：时长在5-10分钟左右，要求图像清晰稳定、构图合理、声音清楚，符合中学生认知特点，能较全面真实反映教学情境，能充分展示教师良好教学风貌。视频片头应显示课题、作者和单位，主要教学环节有字幕提示。视频格式以MP4为主。</w:t>
                  </w:r>
                </w:p>
                <w:p>
                  <w:pPr>
                    <w:rPr>
                      <w:rFonts w:asciiTheme="minorEastAsia" w:hAnsiTheme="minorEastAsia"/>
                      <w:color w:val="000000"/>
                      <w:sz w:val="21"/>
                      <w:szCs w:val="21"/>
                    </w:rPr>
                  </w:pPr>
                  <w:r>
                    <w:rPr>
                      <w:rFonts w:hint="eastAsia" w:asciiTheme="minorEastAsia" w:hAnsiTheme="minorEastAsia"/>
                      <w:color w:val="000000"/>
                      <w:sz w:val="21"/>
                      <w:szCs w:val="21"/>
                    </w:rPr>
                    <w:t>2.微课件：微课件是指在微课教学过程中所用到的多媒体教学课件等。可以整合到微视频中。视频内容根据具体学科教学内容和教学目标要求，反映主要教学内容。可以是教学内容分析与讲解，操作过程演示与示范等，根据实际需要，视频中可插入动画等媒体形式。</w:t>
                  </w:r>
                </w:p>
                <w:p>
                  <w:pPr>
                    <w:rPr>
                      <w:rFonts w:asciiTheme="minorEastAsia" w:hAnsiTheme="minorEastAsia"/>
                      <w:color w:val="000000"/>
                      <w:sz w:val="21"/>
                      <w:szCs w:val="21"/>
                    </w:rPr>
                  </w:pPr>
                  <w:r>
                    <w:rPr>
                      <w:rFonts w:hint="eastAsia" w:asciiTheme="minorEastAsia" w:hAnsiTheme="minorEastAsia"/>
                      <w:color w:val="000000"/>
                      <w:sz w:val="21"/>
                      <w:szCs w:val="21"/>
                    </w:rPr>
                    <w:t>3.技术要求：</w:t>
                  </w:r>
                </w:p>
                <w:p>
                  <w:pPr>
                    <w:rPr>
                      <w:rFonts w:asciiTheme="minorEastAsia" w:hAnsiTheme="minorEastAsia"/>
                      <w:color w:val="000000"/>
                      <w:sz w:val="21"/>
                      <w:szCs w:val="21"/>
                    </w:rPr>
                  </w:pPr>
                  <w:r>
                    <w:rPr>
                      <w:rFonts w:hint="eastAsia" w:asciiTheme="minorEastAsia" w:hAnsiTheme="minorEastAsia"/>
                      <w:color w:val="000000"/>
                      <w:sz w:val="21"/>
                      <w:szCs w:val="21"/>
                    </w:rPr>
                    <w:t>（1）教师在录制前应对授课过程中使用的多媒体课件（PPT、音视频、动画等）认真检查，确保其文字、格式规范，没有错误，符合拍摄要求。</w:t>
                  </w:r>
                </w:p>
                <w:p>
                  <w:pPr>
                    <w:rPr>
                      <w:rFonts w:asciiTheme="minorEastAsia" w:hAnsiTheme="minorEastAsia"/>
                      <w:color w:val="000000"/>
                      <w:sz w:val="21"/>
                      <w:szCs w:val="21"/>
                    </w:rPr>
                  </w:pPr>
                  <w:r>
                    <w:rPr>
                      <w:rFonts w:hint="eastAsia" w:asciiTheme="minorEastAsia" w:hAnsiTheme="minorEastAsia"/>
                      <w:color w:val="000000"/>
                      <w:sz w:val="21"/>
                      <w:szCs w:val="21"/>
                    </w:rPr>
                    <w:t>（2）在拍摄时应针对实际情况选择适当的拍摄方式，确保成片中的多媒体演示及板书完整、清晰。</w:t>
                  </w:r>
                </w:p>
                <w:p>
                  <w:pPr>
                    <w:rPr>
                      <w:rFonts w:asciiTheme="minorEastAsia" w:hAnsiTheme="minorEastAsia"/>
                      <w:color w:val="000000"/>
                      <w:sz w:val="21"/>
                      <w:szCs w:val="21"/>
                    </w:rPr>
                  </w:pPr>
                  <w:r>
                    <w:rPr>
                      <w:rFonts w:hint="eastAsia" w:asciiTheme="minorEastAsia" w:hAnsiTheme="minorEastAsia"/>
                      <w:color w:val="000000"/>
                      <w:sz w:val="21"/>
                      <w:szCs w:val="21"/>
                    </w:rPr>
                    <w:t>（3）片头与片尾</w:t>
                  </w:r>
                </w:p>
                <w:p>
                  <w:pPr>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片头不超过10秒，应包括:学校LOGO、课程名称、讲次、主讲教师姓名、专业技术职务、单位等信息。</w:t>
                  </w:r>
                </w:p>
                <w:p>
                  <w:pPr>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片尾包括版权单位、制作单位、录制时间等信息。</w:t>
                  </w:r>
                </w:p>
                <w:p>
                  <w:pPr>
                    <w:rPr>
                      <w:rFonts w:asciiTheme="minorEastAsia" w:hAnsiTheme="minorEastAsia"/>
                      <w:color w:val="000000"/>
                      <w:sz w:val="21"/>
                      <w:szCs w:val="21"/>
                    </w:rPr>
                  </w:pPr>
                  <w:r>
                    <w:rPr>
                      <w:rFonts w:hint="eastAsia" w:asciiTheme="minorEastAsia" w:hAnsiTheme="minorEastAsia"/>
                      <w:color w:val="000000"/>
                      <w:sz w:val="21"/>
                      <w:szCs w:val="21"/>
                    </w:rPr>
                    <w:t>（4）技术指标</w:t>
                  </w:r>
                </w:p>
                <w:p>
                  <w:pPr>
                    <w:rPr>
                      <w:rFonts w:asciiTheme="minorEastAsia" w:hAnsiTheme="minorEastAsia"/>
                      <w:color w:val="000000"/>
                      <w:sz w:val="21"/>
                      <w:szCs w:val="21"/>
                    </w:rPr>
                  </w:pPr>
                  <w:r>
                    <w:rPr>
                      <w:rFonts w:hint="eastAsia" w:asciiTheme="minorEastAsia" w:hAnsiTheme="minorEastAsia"/>
                      <w:color w:val="000000"/>
                      <w:sz w:val="21"/>
                      <w:szCs w:val="21"/>
                    </w:rPr>
                    <w:t>1）视频信号源</w:t>
                  </w:r>
                </w:p>
                <w:p>
                  <w:pPr>
                    <w:rPr>
                      <w:rFonts w:asciiTheme="minorEastAsia" w:hAnsiTheme="minorEastAsia"/>
                      <w:color w:val="000000"/>
                      <w:sz w:val="21"/>
                      <w:szCs w:val="21"/>
                    </w:rPr>
                  </w:pPr>
                  <w:r>
                    <w:rPr>
                      <w:rFonts w:hint="eastAsia" w:asciiTheme="minorEastAsia" w:hAnsiTheme="minorEastAsia"/>
                      <w:color w:val="000000"/>
                      <w:sz w:val="21"/>
                      <w:szCs w:val="21"/>
                    </w:rPr>
                    <w:t>稳定性：全片图像同步性能稳定，无失步现象，CTL同步控制信号必须连续：图像无抖动跳跃，色彩无突变，编辑点处图像稳定。</w:t>
                  </w:r>
                </w:p>
                <w:p>
                  <w:pPr>
                    <w:rPr>
                      <w:rFonts w:asciiTheme="minorEastAsia" w:hAnsiTheme="minorEastAsia"/>
                      <w:color w:val="000000"/>
                      <w:sz w:val="21"/>
                      <w:szCs w:val="21"/>
                    </w:rPr>
                  </w:pPr>
                  <w:r>
                    <w:rPr>
                      <w:rFonts w:hint="eastAsia" w:asciiTheme="minorEastAsia" w:hAnsiTheme="minorEastAsia"/>
                      <w:color w:val="000000"/>
                      <w:sz w:val="21"/>
                      <w:szCs w:val="21"/>
                    </w:rPr>
                    <w:t>信噪比：图像信噪比不低于55dB，无明显杂波。</w:t>
                  </w:r>
                </w:p>
                <w:p>
                  <w:pPr>
                    <w:rPr>
                      <w:rFonts w:asciiTheme="minorEastAsia" w:hAnsiTheme="minorEastAsia"/>
                      <w:color w:val="000000"/>
                      <w:sz w:val="21"/>
                      <w:szCs w:val="21"/>
                    </w:rPr>
                  </w:pPr>
                  <w:r>
                    <w:rPr>
                      <w:rFonts w:hint="eastAsia" w:asciiTheme="minorEastAsia" w:hAnsiTheme="minorEastAsia"/>
                      <w:color w:val="000000"/>
                      <w:sz w:val="21"/>
                      <w:szCs w:val="21"/>
                    </w:rPr>
                    <w:t>色调：白平衡正确，无明显偏色，多机拍摄的镜头衔接处无明显色差。</w:t>
                  </w:r>
                </w:p>
                <w:p>
                  <w:pPr>
                    <w:rPr>
                      <w:rFonts w:asciiTheme="minorEastAsia" w:hAnsiTheme="minorEastAsia"/>
                      <w:color w:val="000000"/>
                      <w:sz w:val="21"/>
                      <w:szCs w:val="21"/>
                    </w:rPr>
                  </w:pPr>
                  <w:r>
                    <w:rPr>
                      <w:rFonts w:hint="eastAsia" w:asciiTheme="minorEastAsia" w:hAnsiTheme="minorEastAsia"/>
                      <w:color w:val="000000"/>
                      <w:sz w:val="21"/>
                      <w:szCs w:val="21"/>
                    </w:rPr>
                    <w:t>视频电平：视频全讯号幅度为1Ⅴp-p，最大不超过1.1Ⅴ p-p。其中，消隐电平为0V时，白电平幅度0.7Ⅴp-p，同步信号-0.3V，色同步信号幅度0.3V p-p (以消隐线上下对称)，全片一致。</w:t>
                  </w:r>
                </w:p>
                <w:p>
                  <w:pPr>
                    <w:rPr>
                      <w:rFonts w:asciiTheme="minorEastAsia" w:hAnsiTheme="minorEastAsia"/>
                      <w:color w:val="000000"/>
                      <w:sz w:val="21"/>
                      <w:szCs w:val="21"/>
                    </w:rPr>
                  </w:pPr>
                  <w:r>
                    <w:rPr>
                      <w:rFonts w:hint="eastAsia" w:asciiTheme="minorEastAsia" w:hAnsiTheme="minorEastAsia"/>
                      <w:color w:val="000000"/>
                      <w:sz w:val="21"/>
                      <w:szCs w:val="21"/>
                    </w:rPr>
                    <w:t>2）音频信号源</w:t>
                  </w:r>
                </w:p>
                <w:p>
                  <w:pPr>
                    <w:rPr>
                      <w:rFonts w:asciiTheme="minorEastAsia" w:hAnsiTheme="minorEastAsia"/>
                      <w:color w:val="000000"/>
                      <w:sz w:val="21"/>
                      <w:szCs w:val="21"/>
                    </w:rPr>
                  </w:pPr>
                  <w:r>
                    <w:rPr>
                      <w:rFonts w:hint="eastAsia" w:asciiTheme="minorEastAsia" w:hAnsiTheme="minorEastAsia"/>
                      <w:color w:val="000000"/>
                      <w:sz w:val="21"/>
                      <w:szCs w:val="21"/>
                    </w:rPr>
                    <w:t>声道：中文内容音频信号记录于第1声道，音乐、音效、同期声记录于第2声道，若有其他文字解说记录于第3声道(如录音设备无第3声道,则录于第2声道)。</w:t>
                  </w:r>
                </w:p>
                <w:p>
                  <w:pPr>
                    <w:rPr>
                      <w:rFonts w:asciiTheme="minorEastAsia" w:hAnsiTheme="minorEastAsia"/>
                      <w:color w:val="000000"/>
                      <w:sz w:val="21"/>
                      <w:szCs w:val="21"/>
                    </w:rPr>
                  </w:pPr>
                  <w:r>
                    <w:rPr>
                      <w:rFonts w:hint="eastAsia" w:asciiTheme="minorEastAsia" w:hAnsiTheme="minorEastAsia"/>
                      <w:color w:val="000000"/>
                      <w:sz w:val="21"/>
                      <w:szCs w:val="21"/>
                    </w:rPr>
                    <w:t>电平指标：-2db —— -8db声音应无明显失真、放音过冲、过弱。</w:t>
                  </w:r>
                </w:p>
                <w:p>
                  <w:pPr>
                    <w:rPr>
                      <w:rFonts w:asciiTheme="minorEastAsia" w:hAnsiTheme="minorEastAsia"/>
                      <w:color w:val="000000"/>
                      <w:sz w:val="21"/>
                      <w:szCs w:val="21"/>
                    </w:rPr>
                  </w:pPr>
                  <w:r>
                    <w:rPr>
                      <w:rFonts w:hint="eastAsia" w:asciiTheme="minorEastAsia" w:hAnsiTheme="minorEastAsia"/>
                      <w:color w:val="000000"/>
                      <w:sz w:val="21"/>
                      <w:szCs w:val="21"/>
                    </w:rPr>
                    <w:t>音频信噪比不低于48db。</w:t>
                  </w:r>
                </w:p>
                <w:p>
                  <w:pPr>
                    <w:rPr>
                      <w:rFonts w:asciiTheme="minorEastAsia" w:hAnsiTheme="minorEastAsia"/>
                      <w:color w:val="000000"/>
                      <w:sz w:val="21"/>
                      <w:szCs w:val="21"/>
                    </w:rPr>
                  </w:pPr>
                  <w:r>
                    <w:rPr>
                      <w:rFonts w:hint="eastAsia" w:asciiTheme="minorEastAsia" w:hAnsiTheme="minorEastAsia"/>
                      <w:color w:val="000000"/>
                      <w:sz w:val="21"/>
                      <w:szCs w:val="21"/>
                    </w:rPr>
                    <w:t>声音和画面要求同步，无交流声或其他杂音等缺陷。</w:t>
                  </w:r>
                </w:p>
                <w:p>
                  <w:pPr>
                    <w:rPr>
                      <w:rFonts w:asciiTheme="minorEastAsia" w:hAnsiTheme="minorEastAsia"/>
                      <w:color w:val="000000"/>
                      <w:sz w:val="21"/>
                      <w:szCs w:val="21"/>
                    </w:rPr>
                  </w:pPr>
                  <w:r>
                    <w:rPr>
                      <w:rFonts w:hint="eastAsia" w:asciiTheme="minorEastAsia" w:hAnsiTheme="minorEastAsia"/>
                      <w:color w:val="000000"/>
                      <w:sz w:val="21"/>
                      <w:szCs w:val="21"/>
                    </w:rPr>
                    <w:t>伴音清晰、饱满、圆润，无失真、噪声杂音干扰、音量忽大忽小现象。解说声与现场声无明显比例失调，解说声与背景音乐无明显比例失调。</w:t>
                  </w:r>
                </w:p>
                <w:p>
                  <w:pPr>
                    <w:rPr>
                      <w:rFonts w:asciiTheme="minorEastAsia" w:hAnsiTheme="minorEastAsia"/>
                      <w:sz w:val="21"/>
                      <w:szCs w:val="21"/>
                    </w:rPr>
                  </w:pPr>
                  <w:r>
                    <w:rPr>
                      <w:rFonts w:hint="eastAsia" w:asciiTheme="minorEastAsia" w:hAnsiTheme="minorEastAsia"/>
                      <w:color w:val="000000"/>
                      <w:sz w:val="21"/>
                      <w:szCs w:val="21"/>
                    </w:rPr>
                    <w:t>4.封装：采用MP4封装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 w:val="21"/>
                      <w:szCs w:val="21"/>
                    </w:rPr>
                  </w:pPr>
                  <w:r>
                    <w:rPr>
                      <w:rFonts w:hint="eastAsia" w:asciiTheme="minorEastAsia" w:hAnsiTheme="minorEastAsia"/>
                      <w:color w:val="000000"/>
                      <w:sz w:val="21"/>
                      <w:szCs w:val="21"/>
                    </w:rPr>
                    <w:t>演示文稿PPT</w:t>
                  </w:r>
                </w:p>
              </w:tc>
              <w:tc>
                <w:tcPr>
                  <w:tcW w:w="7226" w:type="dxa"/>
                </w:tcPr>
                <w:p>
                  <w:pPr>
                    <w:rPr>
                      <w:rFonts w:asciiTheme="minorEastAsia" w:hAnsiTheme="minorEastAsia"/>
                      <w:color w:val="000000"/>
                      <w:sz w:val="21"/>
                      <w:szCs w:val="21"/>
                    </w:rPr>
                  </w:pPr>
                  <w:r>
                    <w:rPr>
                      <w:rFonts w:hint="eastAsia" w:asciiTheme="minorEastAsia" w:hAnsiTheme="minorEastAsia"/>
                      <w:color w:val="000000"/>
                      <w:sz w:val="21"/>
                      <w:szCs w:val="21"/>
                    </w:rPr>
                    <w:t>1.制作原则及技术要求</w:t>
                  </w:r>
                </w:p>
                <w:p>
                  <w:pPr>
                    <w:rPr>
                      <w:rFonts w:asciiTheme="minorEastAsia" w:hAnsiTheme="minorEastAsia"/>
                      <w:color w:val="000000"/>
                      <w:sz w:val="21"/>
                      <w:szCs w:val="21"/>
                    </w:rPr>
                  </w:pPr>
                  <w:r>
                    <w:rPr>
                      <w:rFonts w:hint="eastAsia" w:asciiTheme="minorEastAsia" w:hAnsiTheme="minorEastAsia"/>
                      <w:color w:val="000000"/>
                      <w:sz w:val="21"/>
                      <w:szCs w:val="21"/>
                    </w:rPr>
                    <w:t>（1）演示文稿（PPT）内容丰富，可集文字、图形、图像、声音以及视频等多种媒体元素于一体。</w:t>
                  </w:r>
                </w:p>
                <w:p>
                  <w:pPr>
                    <w:rPr>
                      <w:rFonts w:asciiTheme="minorEastAsia" w:hAnsiTheme="minorEastAsia"/>
                      <w:color w:val="000000"/>
                      <w:sz w:val="21"/>
                      <w:szCs w:val="21"/>
                    </w:rPr>
                  </w:pPr>
                  <w:r>
                    <w:rPr>
                      <w:rFonts w:hint="eastAsia" w:asciiTheme="minorEastAsia" w:hAnsiTheme="minorEastAsia"/>
                      <w:color w:val="000000"/>
                      <w:sz w:val="21"/>
                      <w:szCs w:val="21"/>
                    </w:rPr>
                    <w:t>（2）页面设置要求符合高清格式比例，幻灯片大小为“全屏显示16：9”。</w:t>
                  </w:r>
                </w:p>
                <w:p>
                  <w:pPr>
                    <w:rPr>
                      <w:rFonts w:asciiTheme="minorEastAsia" w:hAnsiTheme="minorEastAsia"/>
                      <w:color w:val="000000"/>
                      <w:sz w:val="21"/>
                      <w:szCs w:val="21"/>
                    </w:rPr>
                  </w:pPr>
                  <w:r>
                    <w:rPr>
                      <w:rFonts w:hint="eastAsia" w:asciiTheme="minorEastAsia" w:hAnsiTheme="minorEastAsia"/>
                      <w:color w:val="000000"/>
                      <w:sz w:val="21"/>
                      <w:szCs w:val="21"/>
                    </w:rPr>
                    <w:t>（3）整体效果应风格统一、色彩协调、美观大方。</w:t>
                  </w:r>
                </w:p>
                <w:p>
                  <w:pPr>
                    <w:rPr>
                      <w:rFonts w:asciiTheme="minorEastAsia" w:hAnsiTheme="minorEastAsia"/>
                      <w:color w:val="000000"/>
                      <w:sz w:val="21"/>
                      <w:szCs w:val="21"/>
                    </w:rPr>
                  </w:pPr>
                  <w:r>
                    <w:rPr>
                      <w:rFonts w:hint="eastAsia" w:asciiTheme="minorEastAsia" w:hAnsiTheme="minorEastAsia"/>
                      <w:color w:val="000000"/>
                      <w:sz w:val="21"/>
                      <w:szCs w:val="21"/>
                    </w:rPr>
                    <w:t>2.字体与字号</w:t>
                  </w:r>
                </w:p>
                <w:p>
                  <w:pPr>
                    <w:rPr>
                      <w:rFonts w:asciiTheme="minorEastAsia" w:hAnsiTheme="minorEastAsia"/>
                      <w:color w:val="000000"/>
                      <w:sz w:val="21"/>
                      <w:szCs w:val="21"/>
                    </w:rPr>
                  </w:pPr>
                  <w:r>
                    <w:rPr>
                      <w:rFonts w:hint="eastAsia" w:asciiTheme="minorEastAsia" w:hAnsiTheme="minorEastAsia"/>
                      <w:color w:val="000000"/>
                      <w:sz w:val="21"/>
                      <w:szCs w:val="21"/>
                    </w:rPr>
                    <w:t>字体与字号参照下表：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59"/>
                    <w:gridCol w:w="1409"/>
                    <w:gridCol w:w="123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Theme="minorEastAsia" w:hAnsiTheme="minorEastAsia"/>
                            <w:color w:val="000000"/>
                            <w:sz w:val="21"/>
                            <w:szCs w:val="21"/>
                          </w:rPr>
                        </w:pPr>
                        <w:r>
                          <w:rPr>
                            <w:rFonts w:hint="eastAsia" w:asciiTheme="minorEastAsia" w:hAnsiTheme="minorEastAsia"/>
                            <w:color w:val="000000"/>
                            <w:sz w:val="21"/>
                            <w:szCs w:val="21"/>
                          </w:rPr>
                          <w:t>类型</w:t>
                        </w:r>
                      </w:p>
                    </w:tc>
                    <w:tc>
                      <w:tcPr>
                        <w:tcW w:w="1559" w:type="dxa"/>
                      </w:tcPr>
                      <w:p>
                        <w:pPr>
                          <w:rPr>
                            <w:rFonts w:asciiTheme="minorEastAsia" w:hAnsiTheme="minorEastAsia"/>
                            <w:color w:val="000000"/>
                            <w:sz w:val="21"/>
                            <w:szCs w:val="21"/>
                          </w:rPr>
                        </w:pPr>
                        <w:r>
                          <w:rPr>
                            <w:rFonts w:hint="eastAsia" w:asciiTheme="minorEastAsia" w:hAnsiTheme="minorEastAsia"/>
                            <w:color w:val="000000"/>
                            <w:sz w:val="21"/>
                            <w:szCs w:val="21"/>
                          </w:rPr>
                          <w:t>大标题</w:t>
                        </w:r>
                      </w:p>
                    </w:tc>
                    <w:tc>
                      <w:tcPr>
                        <w:tcW w:w="1409" w:type="dxa"/>
                      </w:tcPr>
                      <w:p>
                        <w:pPr>
                          <w:rPr>
                            <w:rFonts w:asciiTheme="minorEastAsia" w:hAnsiTheme="minorEastAsia"/>
                            <w:color w:val="000000"/>
                            <w:sz w:val="21"/>
                            <w:szCs w:val="21"/>
                          </w:rPr>
                        </w:pPr>
                        <w:r>
                          <w:rPr>
                            <w:rFonts w:hint="eastAsia" w:asciiTheme="minorEastAsia" w:hAnsiTheme="minorEastAsia"/>
                            <w:color w:val="000000"/>
                            <w:sz w:val="21"/>
                            <w:szCs w:val="21"/>
                          </w:rPr>
                          <w:t>主讲信息</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一级标题</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正文</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Theme="minorEastAsia" w:hAnsiTheme="minorEastAsia"/>
                            <w:color w:val="000000"/>
                            <w:sz w:val="21"/>
                            <w:szCs w:val="21"/>
                          </w:rPr>
                        </w:pPr>
                        <w:r>
                          <w:rPr>
                            <w:rFonts w:hint="eastAsia" w:asciiTheme="minorEastAsia" w:hAnsiTheme="minorEastAsia"/>
                            <w:color w:val="000000"/>
                            <w:sz w:val="21"/>
                            <w:szCs w:val="21"/>
                          </w:rPr>
                          <w:t>字体</w:t>
                        </w:r>
                      </w:p>
                    </w:tc>
                    <w:tc>
                      <w:tcPr>
                        <w:tcW w:w="1559" w:type="dxa"/>
                      </w:tcPr>
                      <w:p>
                        <w:pPr>
                          <w:rPr>
                            <w:rFonts w:asciiTheme="minorEastAsia" w:hAnsiTheme="minorEastAsia"/>
                            <w:color w:val="000000"/>
                            <w:sz w:val="21"/>
                            <w:szCs w:val="21"/>
                          </w:rPr>
                        </w:pPr>
                        <w:r>
                          <w:rPr>
                            <w:rFonts w:hint="eastAsia" w:asciiTheme="minorEastAsia" w:hAnsiTheme="minorEastAsia"/>
                            <w:color w:val="000000"/>
                            <w:sz w:val="21"/>
                            <w:szCs w:val="21"/>
                          </w:rPr>
                          <w:t>大黑、时尚中黑、大隶书</w:t>
                        </w:r>
                      </w:p>
                    </w:tc>
                    <w:tc>
                      <w:tcPr>
                        <w:tcW w:w="1409" w:type="dxa"/>
                      </w:tcPr>
                      <w:p>
                        <w:pPr>
                          <w:rPr>
                            <w:rFonts w:asciiTheme="minorEastAsia" w:hAnsiTheme="minorEastAsia"/>
                            <w:color w:val="000000"/>
                            <w:sz w:val="21"/>
                            <w:szCs w:val="21"/>
                          </w:rPr>
                        </w:pPr>
                        <w:r>
                          <w:rPr>
                            <w:rFonts w:hint="eastAsia" w:asciiTheme="minorEastAsia" w:hAnsiTheme="minorEastAsia"/>
                            <w:color w:val="000000"/>
                            <w:sz w:val="21"/>
                            <w:szCs w:val="21"/>
                          </w:rPr>
                          <w:t>黑体</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黑体、魏碑、大宋</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雅黑、中宋</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Theme="minorEastAsia" w:hAnsiTheme="minorEastAsia"/>
                            <w:color w:val="000000"/>
                            <w:sz w:val="21"/>
                            <w:szCs w:val="21"/>
                          </w:rPr>
                        </w:pPr>
                        <w:r>
                          <w:rPr>
                            <w:rFonts w:hint="eastAsia" w:asciiTheme="minorEastAsia" w:hAnsiTheme="minorEastAsia"/>
                            <w:color w:val="000000"/>
                            <w:sz w:val="21"/>
                            <w:szCs w:val="21"/>
                          </w:rPr>
                          <w:t>字号</w:t>
                        </w:r>
                      </w:p>
                    </w:tc>
                    <w:tc>
                      <w:tcPr>
                        <w:tcW w:w="1559" w:type="dxa"/>
                      </w:tcPr>
                      <w:p>
                        <w:pPr>
                          <w:rPr>
                            <w:rFonts w:asciiTheme="minorEastAsia" w:hAnsiTheme="minorEastAsia"/>
                            <w:color w:val="000000"/>
                            <w:sz w:val="21"/>
                            <w:szCs w:val="21"/>
                          </w:rPr>
                        </w:pPr>
                        <w:r>
                          <w:rPr>
                            <w:rFonts w:hint="eastAsia" w:asciiTheme="minorEastAsia" w:hAnsiTheme="minorEastAsia"/>
                            <w:color w:val="000000"/>
                            <w:sz w:val="21"/>
                            <w:szCs w:val="21"/>
                          </w:rPr>
                          <w:t>50～70磅</w:t>
                        </w:r>
                      </w:p>
                    </w:tc>
                    <w:tc>
                      <w:tcPr>
                        <w:tcW w:w="1409" w:type="dxa"/>
                      </w:tcPr>
                      <w:p>
                        <w:pPr>
                          <w:rPr>
                            <w:rFonts w:asciiTheme="minorEastAsia" w:hAnsiTheme="minorEastAsia"/>
                            <w:color w:val="000000"/>
                            <w:sz w:val="21"/>
                            <w:szCs w:val="21"/>
                          </w:rPr>
                        </w:pPr>
                        <w:r>
                          <w:rPr>
                            <w:rFonts w:hint="eastAsia" w:asciiTheme="minorEastAsia" w:hAnsiTheme="minorEastAsia"/>
                            <w:color w:val="000000"/>
                            <w:sz w:val="21"/>
                            <w:szCs w:val="21"/>
                          </w:rPr>
                          <w:t>36～40磅</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36～40磅</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24～32磅</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Theme="minorEastAsia" w:hAnsiTheme="minorEastAsia"/>
                            <w:color w:val="000000"/>
                            <w:sz w:val="21"/>
                            <w:szCs w:val="21"/>
                          </w:rPr>
                        </w:pPr>
                        <w:r>
                          <w:rPr>
                            <w:rFonts w:hint="eastAsia" w:asciiTheme="minorEastAsia" w:hAnsiTheme="minorEastAsia"/>
                            <w:color w:val="000000"/>
                            <w:sz w:val="21"/>
                            <w:szCs w:val="21"/>
                          </w:rPr>
                          <w:t>应用</w:t>
                        </w:r>
                      </w:p>
                    </w:tc>
                    <w:tc>
                      <w:tcPr>
                        <w:tcW w:w="1559" w:type="dxa"/>
                      </w:tcPr>
                      <w:p>
                        <w:pPr>
                          <w:rPr>
                            <w:rFonts w:asciiTheme="minorEastAsia" w:hAnsiTheme="minorEastAsia"/>
                            <w:color w:val="000000"/>
                            <w:sz w:val="21"/>
                            <w:szCs w:val="21"/>
                          </w:rPr>
                        </w:pPr>
                        <w:r>
                          <w:rPr>
                            <w:rFonts w:hint="eastAsia" w:asciiTheme="minorEastAsia" w:hAnsiTheme="minorEastAsia"/>
                            <w:color w:val="000000"/>
                            <w:sz w:val="21"/>
                            <w:szCs w:val="21"/>
                          </w:rPr>
                          <w:t>上下左右居中</w:t>
                        </w:r>
                      </w:p>
                    </w:tc>
                    <w:tc>
                      <w:tcPr>
                        <w:tcW w:w="1409" w:type="dxa"/>
                      </w:tcPr>
                      <w:p>
                        <w:pPr>
                          <w:rPr>
                            <w:rFonts w:asciiTheme="minorEastAsia" w:hAnsiTheme="minorEastAsia"/>
                            <w:color w:val="000000"/>
                            <w:sz w:val="21"/>
                            <w:szCs w:val="21"/>
                          </w:rPr>
                        </w:pPr>
                        <w:r>
                          <w:rPr>
                            <w:rFonts w:hint="eastAsia" w:asciiTheme="minorEastAsia" w:hAnsiTheme="minorEastAsia"/>
                            <w:color w:val="000000"/>
                            <w:sz w:val="21"/>
                            <w:szCs w:val="21"/>
                          </w:rPr>
                          <w:t>左右居中</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左右居中</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左对齐或居中</w:t>
                        </w:r>
                      </w:p>
                    </w:tc>
                    <w:tc>
                      <w:tcPr>
                        <w:tcW w:w="1236" w:type="dxa"/>
                      </w:tcPr>
                      <w:p>
                        <w:pPr>
                          <w:rPr>
                            <w:rFonts w:asciiTheme="minorEastAsia" w:hAnsiTheme="minorEastAsia"/>
                            <w:color w:val="000000"/>
                            <w:sz w:val="21"/>
                            <w:szCs w:val="21"/>
                          </w:rPr>
                        </w:pPr>
                        <w:r>
                          <w:rPr>
                            <w:rFonts w:hint="eastAsia" w:asciiTheme="minorEastAsia" w:hAnsiTheme="minorEastAsia"/>
                            <w:color w:val="000000"/>
                            <w:sz w:val="21"/>
                            <w:szCs w:val="21"/>
                          </w:rPr>
                          <w:t>左右居中</w:t>
                        </w:r>
                      </w:p>
                    </w:tc>
                  </w:tr>
                </w:tbl>
                <w:p>
                  <w:pPr>
                    <w:rPr>
                      <w:rFonts w:asciiTheme="minorEastAsia" w:hAnsiTheme="minorEastAsia"/>
                      <w:color w:val="000000"/>
                      <w:sz w:val="21"/>
                      <w:szCs w:val="21"/>
                    </w:rPr>
                  </w:pPr>
                  <w:r>
                    <w:rPr>
                      <w:rFonts w:hint="eastAsia" w:asciiTheme="minorEastAsia" w:hAnsiTheme="minorEastAsia"/>
                      <w:color w:val="000000"/>
                      <w:sz w:val="21"/>
                      <w:szCs w:val="21"/>
                    </w:rPr>
                    <w:t>3.版心与版式</w:t>
                  </w:r>
                </w:p>
                <w:p>
                  <w:pPr>
                    <w:rPr>
                      <w:rFonts w:asciiTheme="minorEastAsia" w:hAnsiTheme="minorEastAsia"/>
                      <w:color w:val="000000"/>
                      <w:sz w:val="21"/>
                      <w:szCs w:val="21"/>
                    </w:rPr>
                  </w:pPr>
                  <w:r>
                    <w:rPr>
                      <w:rFonts w:hint="eastAsia" w:asciiTheme="minorEastAsia" w:hAnsiTheme="minorEastAsia"/>
                      <w:color w:val="000000"/>
                      <w:sz w:val="21"/>
                      <w:szCs w:val="21"/>
                    </w:rPr>
                    <w:t>每页四周留出空白，应避免内容顶到页面边缘，边界安全区域分别为左、右130像素内，上、下90像素内。</w:t>
                  </w:r>
                </w:p>
                <w:p>
                  <w:pPr>
                    <w:rPr>
                      <w:rFonts w:asciiTheme="minorEastAsia" w:hAnsiTheme="minorEastAsia"/>
                      <w:color w:val="000000"/>
                      <w:sz w:val="21"/>
                      <w:szCs w:val="21"/>
                    </w:rPr>
                  </w:pPr>
                  <w:r>
                    <w:rPr>
                      <w:rFonts w:hint="eastAsia" w:asciiTheme="minorEastAsia" w:hAnsiTheme="minorEastAsia"/>
                      <w:color w:val="000000"/>
                      <w:sz w:val="21"/>
                      <w:szCs w:val="21"/>
                    </w:rPr>
                    <w:t>4.背景</w:t>
                  </w:r>
                </w:p>
                <w:p>
                  <w:pPr>
                    <w:rPr>
                      <w:rFonts w:asciiTheme="minorEastAsia" w:hAnsiTheme="minorEastAsia"/>
                      <w:color w:val="000000"/>
                      <w:sz w:val="21"/>
                      <w:szCs w:val="21"/>
                    </w:rPr>
                  </w:pPr>
                  <w:r>
                    <w:rPr>
                      <w:rFonts w:hint="eastAsia" w:asciiTheme="minorEastAsia" w:hAnsiTheme="minorEastAsia"/>
                      <w:color w:val="000000"/>
                      <w:sz w:val="21"/>
                      <w:szCs w:val="21"/>
                    </w:rPr>
                    <w:t>（1）背景色以简洁适中饱和度为主（颜色保持在一至两种色系内）；</w:t>
                  </w:r>
                </w:p>
                <w:p>
                  <w:pPr>
                    <w:rPr>
                      <w:rFonts w:asciiTheme="minorEastAsia" w:hAnsiTheme="minorEastAsia"/>
                      <w:color w:val="000000"/>
                      <w:sz w:val="21"/>
                      <w:szCs w:val="21"/>
                    </w:rPr>
                  </w:pPr>
                  <w:r>
                    <w:rPr>
                      <w:rFonts w:hint="eastAsia" w:asciiTheme="minorEastAsia" w:hAnsiTheme="minorEastAsia"/>
                      <w:color w:val="000000"/>
                      <w:sz w:val="21"/>
                      <w:szCs w:val="21"/>
                    </w:rPr>
                    <w:t>（2）背景和场景不宜变化过多；</w:t>
                  </w:r>
                </w:p>
                <w:p>
                  <w:pPr>
                    <w:rPr>
                      <w:rFonts w:asciiTheme="minorEastAsia" w:hAnsiTheme="minorEastAsia"/>
                      <w:color w:val="000000"/>
                      <w:sz w:val="21"/>
                      <w:szCs w:val="21"/>
                    </w:rPr>
                  </w:pPr>
                  <w:r>
                    <w:rPr>
                      <w:rFonts w:hint="eastAsia" w:asciiTheme="minorEastAsia" w:hAnsiTheme="minorEastAsia"/>
                      <w:color w:val="000000"/>
                      <w:sz w:val="21"/>
                      <w:szCs w:val="21"/>
                    </w:rPr>
                    <w:t>（3）文字、图形等内容应与背景对比醒目。</w:t>
                  </w:r>
                </w:p>
                <w:p>
                  <w:pPr>
                    <w:rPr>
                      <w:rFonts w:asciiTheme="minorEastAsia" w:hAnsiTheme="minorEastAsia"/>
                      <w:color w:val="000000"/>
                      <w:sz w:val="21"/>
                      <w:szCs w:val="21"/>
                    </w:rPr>
                  </w:pPr>
                  <w:r>
                    <w:rPr>
                      <w:rFonts w:hint="eastAsia" w:asciiTheme="minorEastAsia" w:hAnsiTheme="minorEastAsia"/>
                      <w:color w:val="000000"/>
                      <w:sz w:val="21"/>
                      <w:szCs w:val="21"/>
                    </w:rPr>
                    <w:t>5. 色调</w:t>
                  </w:r>
                </w:p>
                <w:p>
                  <w:pPr>
                    <w:rPr>
                      <w:rFonts w:asciiTheme="minorEastAsia" w:hAnsiTheme="minorEastAsia"/>
                      <w:color w:val="000000"/>
                      <w:sz w:val="21"/>
                      <w:szCs w:val="21"/>
                    </w:rPr>
                  </w:pPr>
                  <w:r>
                    <w:rPr>
                      <w:rFonts w:hint="eastAsia" w:asciiTheme="minorEastAsia" w:hAnsiTheme="minorEastAsia"/>
                      <w:color w:val="000000"/>
                      <w:sz w:val="21"/>
                      <w:szCs w:val="21"/>
                    </w:rPr>
                    <w:t>（1）色彩的选配应与课程科目相吻合；</w:t>
                  </w:r>
                </w:p>
                <w:p>
                  <w:pPr>
                    <w:rPr>
                      <w:rFonts w:asciiTheme="minorEastAsia" w:hAnsiTheme="minorEastAsia"/>
                      <w:color w:val="000000"/>
                      <w:sz w:val="21"/>
                      <w:szCs w:val="21"/>
                    </w:rPr>
                  </w:pPr>
                  <w:r>
                    <w:rPr>
                      <w:rFonts w:hint="eastAsia" w:asciiTheme="minorEastAsia" w:hAnsiTheme="minorEastAsia"/>
                      <w:color w:val="000000"/>
                      <w:sz w:val="21"/>
                      <w:szCs w:val="21"/>
                    </w:rPr>
                    <w:t>（2）每一短视频或一系列短视频在配色上应体现出系统性，可选一种主色调再加上一至两种辅助色进行匹配；</w:t>
                  </w:r>
                </w:p>
                <w:p>
                  <w:pPr>
                    <w:rPr>
                      <w:rFonts w:asciiTheme="minorEastAsia" w:hAnsiTheme="minorEastAsia"/>
                      <w:color w:val="000000"/>
                      <w:sz w:val="21"/>
                      <w:szCs w:val="21"/>
                    </w:rPr>
                  </w:pPr>
                  <w:r>
                    <w:rPr>
                      <w:rFonts w:hint="eastAsia" w:asciiTheme="minorEastAsia" w:hAnsiTheme="minorEastAsia"/>
                      <w:color w:val="000000"/>
                      <w:sz w:val="21"/>
                      <w:szCs w:val="21"/>
                    </w:rPr>
                    <w:t>（3）同一屏里文字不宜超出三种颜色。</w:t>
                  </w:r>
                </w:p>
                <w:p>
                  <w:pPr>
                    <w:rPr>
                      <w:rFonts w:asciiTheme="minorEastAsia" w:hAnsiTheme="minorEastAsia"/>
                      <w:color w:val="000000"/>
                      <w:sz w:val="21"/>
                      <w:szCs w:val="21"/>
                    </w:rPr>
                  </w:pPr>
                  <w:r>
                    <w:rPr>
                      <w:rFonts w:hint="eastAsia" w:asciiTheme="minorEastAsia" w:hAnsiTheme="minorEastAsia"/>
                      <w:color w:val="000000"/>
                      <w:sz w:val="21"/>
                      <w:szCs w:val="21"/>
                    </w:rPr>
                    <w:t>6.字距与行距</w:t>
                  </w:r>
                </w:p>
                <w:p>
                  <w:pPr>
                    <w:rPr>
                      <w:rFonts w:asciiTheme="minorEastAsia" w:hAnsiTheme="minorEastAsia"/>
                      <w:color w:val="000000"/>
                      <w:sz w:val="21"/>
                      <w:szCs w:val="21"/>
                    </w:rPr>
                  </w:pPr>
                  <w:r>
                    <w:rPr>
                      <w:rFonts w:hint="eastAsia" w:asciiTheme="minorEastAsia" w:hAnsiTheme="minorEastAsia"/>
                      <w:color w:val="000000"/>
                      <w:sz w:val="21"/>
                      <w:szCs w:val="21"/>
                    </w:rPr>
                    <w:t>（1）标题：在文字少的情形下，字距放宽一倍体现舒展性；</w:t>
                  </w:r>
                </w:p>
                <w:p>
                  <w:pPr>
                    <w:rPr>
                      <w:rFonts w:asciiTheme="minorEastAsia" w:hAnsiTheme="minorEastAsia"/>
                      <w:color w:val="000000"/>
                      <w:sz w:val="21"/>
                      <w:szCs w:val="21"/>
                    </w:rPr>
                  </w:pPr>
                  <w:r>
                    <w:rPr>
                      <w:rFonts w:hint="eastAsia" w:asciiTheme="minorEastAsia" w:hAnsiTheme="minorEastAsia"/>
                      <w:color w:val="000000"/>
                      <w:sz w:val="21"/>
                      <w:szCs w:val="21"/>
                    </w:rPr>
                    <w:t>（2）正文：行距使用1行或1.5行，便于阅读。</w:t>
                  </w:r>
                </w:p>
                <w:p>
                  <w:pPr>
                    <w:rPr>
                      <w:rFonts w:asciiTheme="minorEastAsia" w:hAnsiTheme="minorEastAsia"/>
                      <w:color w:val="000000"/>
                      <w:sz w:val="21"/>
                      <w:szCs w:val="21"/>
                    </w:rPr>
                  </w:pPr>
                  <w:r>
                    <w:rPr>
                      <w:rFonts w:hint="eastAsia" w:asciiTheme="minorEastAsia" w:hAnsiTheme="minorEastAsia"/>
                      <w:color w:val="000000"/>
                      <w:sz w:val="21"/>
                      <w:szCs w:val="21"/>
                    </w:rPr>
                    <w:t>7. 配图</w:t>
                  </w:r>
                </w:p>
                <w:p>
                  <w:pPr>
                    <w:rPr>
                      <w:rFonts w:asciiTheme="minorEastAsia" w:hAnsiTheme="minorEastAsia"/>
                      <w:color w:val="000000"/>
                      <w:sz w:val="21"/>
                      <w:szCs w:val="21"/>
                    </w:rPr>
                  </w:pPr>
                  <w:r>
                    <w:rPr>
                      <w:rFonts w:hint="eastAsia" w:asciiTheme="minorEastAsia" w:hAnsiTheme="minorEastAsia"/>
                      <w:color w:val="000000"/>
                      <w:sz w:val="21"/>
                      <w:szCs w:val="21"/>
                    </w:rPr>
                    <w:t>（1）图像应清晰并能反映出内容主题思想，分辨率应上72dpi以上；</w:t>
                  </w:r>
                </w:p>
                <w:p>
                  <w:pPr>
                    <w:rPr>
                      <w:rFonts w:asciiTheme="minorEastAsia" w:hAnsiTheme="minorEastAsia"/>
                      <w:color w:val="000000"/>
                      <w:sz w:val="21"/>
                      <w:szCs w:val="21"/>
                    </w:rPr>
                  </w:pPr>
                  <w:r>
                    <w:rPr>
                      <w:rFonts w:hint="eastAsia" w:asciiTheme="minorEastAsia" w:hAnsiTheme="minorEastAsia"/>
                      <w:color w:val="000000"/>
                      <w:sz w:val="21"/>
                      <w:szCs w:val="21"/>
                    </w:rPr>
                    <w:t>（2）图片不可加长或压窄，防止变形；</w:t>
                  </w:r>
                </w:p>
                <w:p>
                  <w:pPr>
                    <w:rPr>
                      <w:rFonts w:asciiTheme="minorEastAsia" w:hAnsiTheme="minorEastAsia"/>
                      <w:color w:val="000000"/>
                      <w:sz w:val="21"/>
                      <w:szCs w:val="21"/>
                    </w:rPr>
                  </w:pPr>
                  <w:r>
                    <w:rPr>
                      <w:rFonts w:hint="eastAsia" w:asciiTheme="minorEastAsia" w:hAnsiTheme="minorEastAsia"/>
                      <w:color w:val="000000"/>
                      <w:sz w:val="21"/>
                      <w:szCs w:val="21"/>
                    </w:rPr>
                    <w:t>（3）图形使用应通俗易懂，便于理解。</w:t>
                  </w:r>
                </w:p>
                <w:p>
                  <w:pPr>
                    <w:rPr>
                      <w:rFonts w:asciiTheme="minorEastAsia" w:hAnsiTheme="minorEastAsia"/>
                      <w:color w:val="000000"/>
                      <w:sz w:val="21"/>
                      <w:szCs w:val="21"/>
                    </w:rPr>
                  </w:pPr>
                  <w:r>
                    <w:rPr>
                      <w:rFonts w:hint="eastAsia" w:asciiTheme="minorEastAsia" w:hAnsiTheme="minorEastAsia"/>
                      <w:color w:val="000000"/>
                      <w:sz w:val="21"/>
                      <w:szCs w:val="21"/>
                    </w:rPr>
                    <w:t>8. 修饰</w:t>
                  </w:r>
                </w:p>
                <w:p>
                  <w:pPr>
                    <w:rPr>
                      <w:rFonts w:asciiTheme="minorEastAsia" w:hAnsiTheme="minorEastAsia"/>
                      <w:color w:val="000000"/>
                      <w:sz w:val="21"/>
                      <w:szCs w:val="21"/>
                    </w:rPr>
                  </w:pPr>
                  <w:r>
                    <w:rPr>
                      <w:rFonts w:hint="eastAsia" w:asciiTheme="minorEastAsia" w:hAnsiTheme="minorEastAsia"/>
                      <w:color w:val="000000"/>
                      <w:sz w:val="21"/>
                      <w:szCs w:val="21"/>
                    </w:rPr>
                    <w:t>（1）细线条的运用比粗线条更显精致；</w:t>
                  </w:r>
                </w:p>
                <w:p>
                  <w:pPr>
                    <w:rPr>
                      <w:rFonts w:asciiTheme="minorEastAsia" w:hAnsiTheme="minorEastAsia"/>
                      <w:color w:val="000000"/>
                      <w:sz w:val="21"/>
                      <w:szCs w:val="21"/>
                    </w:rPr>
                  </w:pPr>
                  <w:r>
                    <w:rPr>
                      <w:rFonts w:hint="eastAsia" w:asciiTheme="minorEastAsia" w:hAnsiTheme="minorEastAsia"/>
                      <w:color w:val="000000"/>
                      <w:sz w:val="21"/>
                      <w:szCs w:val="21"/>
                    </w:rPr>
                    <w:t>（2）扁平式的装饰更接近时代审美；</w:t>
                  </w:r>
                </w:p>
                <w:p>
                  <w:pPr>
                    <w:rPr>
                      <w:rFonts w:asciiTheme="minorEastAsia" w:hAnsiTheme="minorEastAsia"/>
                      <w:sz w:val="21"/>
                      <w:szCs w:val="21"/>
                    </w:rPr>
                  </w:pPr>
                  <w:r>
                    <w:rPr>
                      <w:rFonts w:hint="eastAsia" w:asciiTheme="minorEastAsia" w:hAnsiTheme="minorEastAsia"/>
                      <w:color w:val="000000"/>
                      <w:sz w:val="21"/>
                      <w:szCs w:val="21"/>
                    </w:rPr>
                    <w:t>（3）有趣味的装饰通常更能吸引人。</w:t>
                  </w:r>
                </w:p>
              </w:tc>
            </w:tr>
          </w:tbl>
          <w:p>
            <w:pPr>
              <w:autoSpaceDE w:val="0"/>
              <w:autoSpaceDN w:val="0"/>
              <w:adjustRightInd w:val="0"/>
              <w:jc w:val="left"/>
              <w:rPr>
                <w:rFonts w:hAnsi="Times New Roman" w:eastAsia="宋体" w:cs="宋体"/>
                <w:color w:val="000000"/>
                <w:sz w:val="21"/>
                <w:szCs w:val="21"/>
              </w:rPr>
            </w:pPr>
            <w:r>
              <w:rPr>
                <w:rFonts w:hint="eastAsia" w:ascii="Times New Roman" w:hAnsi="Times New Roman" w:cs="Times New Roman"/>
                <w:color w:val="000000"/>
                <w:sz w:val="21"/>
                <w:szCs w:val="21"/>
              </w:rPr>
              <w:t>3</w:t>
            </w:r>
            <w:r>
              <w:rPr>
                <w:rFonts w:ascii="Times New Roman" w:hAnsi="Times New Roman" w:cs="Times New Roman"/>
                <w:color w:val="000000"/>
                <w:sz w:val="21"/>
                <w:szCs w:val="21"/>
              </w:rPr>
              <w:t>.</w:t>
            </w:r>
            <w:r>
              <w:rPr>
                <w:rFonts w:hint="eastAsia" w:hAnsi="Times New Roman" w:eastAsia="宋体" w:cs="宋体"/>
                <w:color w:val="000000"/>
                <w:sz w:val="21"/>
                <w:szCs w:val="21"/>
              </w:rPr>
              <w:t>技术培训</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1</w:t>
            </w:r>
            <w:r>
              <w:rPr>
                <w:rFonts w:hint="eastAsia" w:hAnsi="Times New Roman" w:eastAsia="宋体" w:cs="宋体"/>
                <w:color w:val="000000"/>
                <w:sz w:val="21"/>
                <w:szCs w:val="21"/>
              </w:rPr>
              <w:t>）地点</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使用单位指定地点。</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2</w:t>
            </w:r>
            <w:r>
              <w:rPr>
                <w:rFonts w:hint="eastAsia" w:hAnsi="Times New Roman" w:eastAsia="宋体" w:cs="宋体"/>
                <w:color w:val="000000"/>
                <w:sz w:val="21"/>
                <w:szCs w:val="21"/>
              </w:rPr>
              <w:t>）内容</w:t>
            </w:r>
            <w:r>
              <w:rPr>
                <w:rFonts w:hAnsi="Times New Roman" w:eastAsia="宋体" w:cs="宋体"/>
                <w:color w:val="000000"/>
                <w:sz w:val="21"/>
                <w:szCs w:val="21"/>
              </w:rPr>
              <w:t xml:space="preserve"> </w:t>
            </w:r>
          </w:p>
          <w:p>
            <w:pPr>
              <w:autoSpaceDE w:val="0"/>
              <w:autoSpaceDN w:val="0"/>
              <w:adjustRightInd w:val="0"/>
              <w:ind w:firstLine="420" w:firstLineChars="200"/>
              <w:jc w:val="left"/>
              <w:rPr>
                <w:rFonts w:hAnsi="Times New Roman" w:eastAsia="宋体" w:cs="宋体"/>
                <w:color w:val="000000"/>
                <w:sz w:val="21"/>
                <w:szCs w:val="21"/>
              </w:rPr>
            </w:pPr>
            <w:r>
              <w:rPr>
                <w:rFonts w:hint="eastAsia" w:hAnsi="Times New Roman" w:eastAsia="宋体" w:cs="宋体"/>
                <w:color w:val="000000"/>
                <w:sz w:val="21"/>
                <w:szCs w:val="21"/>
              </w:rPr>
              <w:t>安排专业技术人员向采购人提供全面的培训，确保用户能够对本次采购有足够的了解，能够独立进行日常操作、管理和维护。</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ascii="Times New Roman" w:hAnsi="Times New Roman" w:eastAsia="宋体" w:cs="Times New Roman"/>
                <w:color w:val="000000"/>
                <w:sz w:val="21"/>
                <w:szCs w:val="21"/>
              </w:rPr>
              <w:t>4</w:t>
            </w:r>
            <w:r>
              <w:rPr>
                <w:rFonts w:ascii="Times New Roman" w:hAnsi="Times New Roman" w:eastAsia="宋体" w:cs="Times New Roman"/>
                <w:color w:val="000000"/>
                <w:sz w:val="21"/>
                <w:szCs w:val="21"/>
              </w:rPr>
              <w:t>.</w:t>
            </w:r>
            <w:r>
              <w:rPr>
                <w:rFonts w:hint="eastAsia" w:hAnsi="Times New Roman" w:eastAsia="宋体" w:cs="宋体"/>
                <w:color w:val="000000"/>
                <w:sz w:val="21"/>
                <w:szCs w:val="21"/>
              </w:rPr>
              <w:t>其他要求</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1</w:t>
            </w:r>
            <w:r>
              <w:rPr>
                <w:rFonts w:hint="eastAsia" w:hAnsi="Times New Roman" w:eastAsia="宋体" w:cs="宋体"/>
                <w:color w:val="000000"/>
                <w:sz w:val="21"/>
                <w:szCs w:val="21"/>
              </w:rPr>
              <w:t>）供应商参与过省级专业教学资源库项目或在线开放课程等类性质的建设（提供合同文件或相关项目验收报告）。</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2</w:t>
            </w:r>
            <w:r>
              <w:rPr>
                <w:rFonts w:hint="eastAsia" w:hAnsi="Times New Roman" w:eastAsia="宋体" w:cs="宋体"/>
                <w:color w:val="000000"/>
                <w:sz w:val="21"/>
                <w:szCs w:val="21"/>
              </w:rPr>
              <w:t>）成交人应为采购人提供备份工具及介质，提供技术服务包及产品说明，至少提供三年质保，三年免费后续服务，包含提供及时的服务请求响应、专业资源库升级，教学资源的局部调整，保修期内免费指导涉及到系统平台的软、硬件及计算机网络技术，终身免费技术支持等。并附相关售后服务承诺书。</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3</w:t>
            </w:r>
            <w:r>
              <w:rPr>
                <w:rFonts w:hint="eastAsia" w:hAnsi="Times New Roman" w:eastAsia="宋体" w:cs="宋体"/>
                <w:color w:val="000000"/>
                <w:sz w:val="21"/>
                <w:szCs w:val="21"/>
              </w:rPr>
              <w:t>）驻校服务：在项目建设期间，供应商需派专业技术人员提供驻校服务，便于与专业教师沟通交流，领会教师资源开发意图，制作方到场与教师面对面进行沟通、制作、修改。在项目完工后，供应商应提供免费驻校培训服务，保障项目能正常使用。</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4</w:t>
            </w:r>
            <w:r>
              <w:rPr>
                <w:rFonts w:hint="eastAsia" w:hAnsi="Times New Roman" w:eastAsia="宋体" w:cs="宋体"/>
                <w:color w:val="000000"/>
                <w:sz w:val="21"/>
                <w:szCs w:val="21"/>
              </w:rPr>
              <w:t>）版权要求：版权归属于采购人。供应商必须为采购人制作属于采购人自有版权的信息化产品，且所制作的全部资源不能显示与非采购人无关的信息。同时，供应商应协助采购人为软件产品等申报相关教育教学项目评优工作。</w:t>
            </w:r>
            <w:r>
              <w:rPr>
                <w:rFonts w:hAnsi="Times New Roman" w:eastAsia="宋体" w:cs="宋体"/>
                <w:color w:val="000000"/>
                <w:sz w:val="21"/>
                <w:szCs w:val="21"/>
              </w:rPr>
              <w:t xml:space="preserve"> </w:t>
            </w:r>
          </w:p>
          <w:p>
            <w:pPr>
              <w:rPr>
                <w:rFonts w:hAnsi="宋体"/>
                <w:color w:val="000000"/>
                <w:sz w:val="24"/>
                <w:szCs w:val="24"/>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5</w:t>
            </w:r>
            <w:r>
              <w:rPr>
                <w:rFonts w:hint="eastAsia" w:hAnsi="Times New Roman" w:eastAsia="宋体" w:cs="宋体"/>
                <w:color w:val="000000"/>
                <w:sz w:val="21"/>
                <w:szCs w:val="21"/>
              </w:rPr>
              <w:t>）数据整合要求：供应商必须为学校数据整合提供免费数据接口和技术支持。</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eastAsia="宋体" w:cs="宋体"/>
                <w:color w:val="000000"/>
                <w:sz w:val="21"/>
                <w:szCs w:val="21"/>
              </w:rPr>
              <w:t>（</w:t>
            </w:r>
            <w:r>
              <w:rPr>
                <w:rFonts w:ascii="Times New Roman" w:hAnsi="Times New Roman" w:eastAsia="宋体" w:cs="Times New Roman"/>
                <w:color w:val="000000"/>
                <w:sz w:val="21"/>
                <w:szCs w:val="21"/>
              </w:rPr>
              <w:t>6</w:t>
            </w:r>
            <w:r>
              <w:rPr>
                <w:rFonts w:hint="eastAsia" w:hAnsi="Times New Roman" w:eastAsia="宋体" w:cs="宋体"/>
                <w:color w:val="000000"/>
                <w:sz w:val="21"/>
                <w:szCs w:val="21"/>
              </w:rPr>
              <w:t>）成交单位应配合教师完成资源的上传至指定专业教学资源库网站上。</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w:t>
            </w:r>
            <w:r>
              <w:rPr>
                <w:rFonts w:ascii="Times New Roman" w:hAnsi="Times New Roman" w:eastAsia="宋体" w:cs="Times New Roman"/>
                <w:color w:val="000000"/>
                <w:sz w:val="21"/>
                <w:szCs w:val="21"/>
              </w:rPr>
              <w:t>7</w:t>
            </w:r>
            <w:r>
              <w:rPr>
                <w:rFonts w:hint="eastAsia" w:hAnsi="Times New Roman" w:eastAsia="宋体" w:cs="宋体"/>
                <w:color w:val="000000"/>
                <w:sz w:val="21"/>
                <w:szCs w:val="21"/>
              </w:rPr>
              <w:t>）供应商应就该项目完整投标，否则为无效标。即：本项目报价为总包价</w:t>
            </w:r>
            <w:r>
              <w:rPr>
                <w:rFonts w:ascii="Times New Roman" w:hAnsi="Times New Roman" w:eastAsia="宋体" w:cs="Times New Roman"/>
                <w:color w:val="000000"/>
                <w:sz w:val="21"/>
                <w:szCs w:val="21"/>
              </w:rPr>
              <w:t>,</w:t>
            </w:r>
            <w:r>
              <w:rPr>
                <w:rFonts w:hint="eastAsia" w:hAnsi="Times New Roman" w:eastAsia="宋体" w:cs="宋体"/>
                <w:color w:val="000000"/>
                <w:sz w:val="21"/>
                <w:szCs w:val="21"/>
              </w:rPr>
              <w:t>包括各类资源建设、验收所产生的费用等。</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（9）交货期：合同签订后，2021年2月28日前。</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（10）交货地点：采购人指定地点。</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（11）其他</w:t>
            </w:r>
            <w:r>
              <w:rPr>
                <w:rFonts w:hAnsi="Times New Roman" w:eastAsia="宋体" w:cs="宋体"/>
                <w:color w:val="000000"/>
                <w:sz w:val="21"/>
                <w:szCs w:val="21"/>
              </w:rPr>
              <w:t xml:space="preserve"> </w:t>
            </w:r>
          </w:p>
          <w:p>
            <w:pPr>
              <w:autoSpaceDE w:val="0"/>
              <w:autoSpaceDN w:val="0"/>
              <w:adjustRightInd w:val="0"/>
              <w:jc w:val="left"/>
              <w:rPr>
                <w:rFonts w:hAnsi="Times New Roman" w:eastAsia="宋体" w:cs="宋体"/>
                <w:color w:val="000000"/>
                <w:sz w:val="21"/>
                <w:szCs w:val="21"/>
              </w:rPr>
            </w:pPr>
            <w:r>
              <w:rPr>
                <w:rFonts w:hint="eastAsia" w:hAnsi="Times New Roman" w:eastAsia="宋体" w:cs="宋体"/>
                <w:color w:val="000000"/>
                <w:sz w:val="21"/>
                <w:szCs w:val="21"/>
              </w:rPr>
              <w:t>①成交人应根据采购人的要求对资源建设的技术方案进行日常沟通，成交人需设立专门技术服务团队，与指定的联系教师对接沟通事宜。</w:t>
            </w:r>
          </w:p>
          <w:p>
            <w:pPr>
              <w:autoSpaceDE w:val="0"/>
              <w:autoSpaceDN w:val="0"/>
              <w:adjustRightInd w:val="0"/>
              <w:jc w:val="left"/>
              <w:rPr>
                <w:rFonts w:hAnsi="宋体"/>
                <w:color w:val="000000"/>
                <w:sz w:val="24"/>
                <w:szCs w:val="24"/>
              </w:rPr>
            </w:pPr>
            <w:r>
              <w:rPr>
                <w:rFonts w:eastAsia="宋体"/>
                <w:sz w:val="21"/>
                <w:szCs w:val="21"/>
              </w:rPr>
              <w:t>②所有课程建设内容，所有权归</w:t>
            </w:r>
            <w:r>
              <w:rPr>
                <w:rFonts w:hint="eastAsia" w:eastAsia="宋体"/>
                <w:sz w:val="21"/>
                <w:szCs w:val="21"/>
              </w:rPr>
              <w:t>四川铁道职业</w:t>
            </w:r>
            <w:r>
              <w:rPr>
                <w:rFonts w:eastAsia="宋体"/>
                <w:sz w:val="21"/>
                <w:szCs w:val="21"/>
              </w:rPr>
              <w:t>学院和该课程建设教师所有，未经允许成交人不得以任何形式向第三方提供。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959" w:type="dxa"/>
            <w:vAlign w:val="center"/>
          </w:tcPr>
          <w:p>
            <w:pPr>
              <w:spacing w:line="360" w:lineRule="exact"/>
              <w:jc w:val="center"/>
              <w:rPr>
                <w:rFonts w:hAnsi="宋体"/>
                <w:color w:val="000000"/>
                <w:sz w:val="24"/>
                <w:szCs w:val="24"/>
              </w:rPr>
            </w:pPr>
            <w:r>
              <w:rPr>
                <w:rFonts w:hint="eastAsia" w:hAnsi="宋体"/>
                <w:color w:val="000000"/>
                <w:sz w:val="24"/>
                <w:szCs w:val="24"/>
              </w:rPr>
              <w:t>验收内容及标准</w:t>
            </w:r>
          </w:p>
        </w:tc>
        <w:tc>
          <w:tcPr>
            <w:tcW w:w="8356" w:type="dxa"/>
            <w:vAlign w:val="center"/>
          </w:tcPr>
          <w:p>
            <w:pPr>
              <w:ind w:firstLine="420" w:firstLineChars="200"/>
              <w:rPr>
                <w:sz w:val="21"/>
                <w:szCs w:val="21"/>
              </w:rPr>
            </w:pPr>
            <w:r>
              <w:rPr>
                <w:rFonts w:hint="eastAsia"/>
                <w:sz w:val="21"/>
                <w:szCs w:val="21"/>
              </w:rPr>
              <w:t>所有课程资源上传完成后，乙方应根据所提交的验收方案和实施办法，自行组织设备和人员，并在使用单位监查下现场进行测试和验收。</w:t>
            </w:r>
          </w:p>
          <w:p>
            <w:pPr>
              <w:rPr>
                <w:rFonts w:hAnsi="宋体"/>
                <w:sz w:val="24"/>
                <w:szCs w:val="24"/>
              </w:rPr>
            </w:pPr>
          </w:p>
        </w:tc>
      </w:tr>
    </w:tbl>
    <w:p>
      <w:pPr>
        <w:ind w:firstLine="420" w:firstLineChars="200"/>
        <w:rPr>
          <w:sz w:val="21"/>
          <w:szCs w:val="21"/>
        </w:rPr>
      </w:pPr>
    </w:p>
    <w:p>
      <w:pPr>
        <w:ind w:firstLine="420" w:firstLineChars="200"/>
        <w:rPr>
          <w:sz w:val="21"/>
          <w:szCs w:val="21"/>
        </w:rPr>
      </w:pPr>
      <w:r>
        <w:rPr>
          <w:sz w:val="21"/>
          <w:szCs w:val="21"/>
        </w:rPr>
        <w:t>付款方式</w:t>
      </w:r>
      <w:r>
        <w:rPr>
          <w:rFonts w:hint="eastAsia"/>
          <w:sz w:val="21"/>
          <w:szCs w:val="21"/>
        </w:rPr>
        <w:t>(分三次付款)</w:t>
      </w:r>
      <w:r>
        <w:rPr>
          <w:sz w:val="21"/>
          <w:szCs w:val="21"/>
        </w:rPr>
        <w:t>：</w:t>
      </w:r>
    </w:p>
    <w:p>
      <w:pPr>
        <w:ind w:firstLine="420" w:firstLineChars="200"/>
        <w:rPr>
          <w:sz w:val="21"/>
          <w:szCs w:val="21"/>
        </w:rPr>
      </w:pPr>
      <w:r>
        <w:rPr>
          <w:rFonts w:hint="eastAsia"/>
          <w:sz w:val="21"/>
          <w:szCs w:val="21"/>
        </w:rPr>
        <w:t>1.预付款：本项目确定投标成交人后，第一时间签订合同，</w:t>
      </w:r>
      <w:r>
        <w:rPr>
          <w:sz w:val="21"/>
          <w:szCs w:val="21"/>
        </w:rPr>
        <w:t>采购人向成交人以转账形式支付合同总价的</w:t>
      </w:r>
      <w:r>
        <w:rPr>
          <w:rFonts w:hint="eastAsia"/>
          <w:sz w:val="21"/>
          <w:szCs w:val="21"/>
          <w:lang w:val="en-US" w:eastAsia="zh-CN"/>
        </w:rPr>
        <w:t>1</w:t>
      </w:r>
      <w:r>
        <w:rPr>
          <w:rFonts w:hint="eastAsia"/>
          <w:sz w:val="21"/>
          <w:szCs w:val="21"/>
        </w:rPr>
        <w:t>5</w:t>
      </w:r>
      <w:r>
        <w:rPr>
          <w:sz w:val="21"/>
          <w:szCs w:val="21"/>
        </w:rPr>
        <w:t>%</w:t>
      </w:r>
      <w:r>
        <w:rPr>
          <w:rFonts w:hint="eastAsia"/>
          <w:sz w:val="21"/>
          <w:szCs w:val="21"/>
        </w:rPr>
        <w:t>；</w:t>
      </w:r>
    </w:p>
    <w:p>
      <w:pPr>
        <w:ind w:firstLine="420" w:firstLineChars="200"/>
        <w:rPr>
          <w:sz w:val="21"/>
          <w:szCs w:val="21"/>
        </w:rPr>
      </w:pPr>
      <w:r>
        <w:rPr>
          <w:rFonts w:hint="eastAsia"/>
          <w:sz w:val="21"/>
          <w:szCs w:val="21"/>
        </w:rPr>
        <w:t>2.中期款：</w:t>
      </w:r>
      <w:r>
        <w:rPr>
          <w:sz w:val="21"/>
          <w:szCs w:val="21"/>
        </w:rPr>
        <w:t>根据采购要求，</w:t>
      </w:r>
      <w:r>
        <w:rPr>
          <w:rFonts w:hint="eastAsia"/>
          <w:sz w:val="21"/>
          <w:szCs w:val="21"/>
        </w:rPr>
        <w:t>成交人</w:t>
      </w:r>
      <w:r>
        <w:rPr>
          <w:sz w:val="21"/>
          <w:szCs w:val="21"/>
        </w:rPr>
        <w:t>承诺项目第一阶段2021年1月15日前交付所有课程资源、完成相应技术服务，并通过校内验收合格上线试运行，采购人向成交人以转账形式支付合同总价的</w:t>
      </w:r>
      <w:r>
        <w:rPr>
          <w:rFonts w:hint="eastAsia"/>
          <w:sz w:val="21"/>
          <w:szCs w:val="21"/>
          <w:lang w:val="en-US" w:eastAsia="zh-CN"/>
        </w:rPr>
        <w:t>65</w:t>
      </w:r>
      <w:r>
        <w:rPr>
          <w:sz w:val="21"/>
          <w:szCs w:val="21"/>
        </w:rPr>
        <w:t>%</w:t>
      </w:r>
      <w:r>
        <w:rPr>
          <w:rFonts w:hint="eastAsia"/>
          <w:sz w:val="21"/>
          <w:szCs w:val="21"/>
        </w:rPr>
        <w:t>；</w:t>
      </w:r>
    </w:p>
    <w:p>
      <w:pPr>
        <w:ind w:firstLine="420" w:firstLineChars="200"/>
        <w:rPr>
          <w:rFonts w:hint="eastAsia"/>
        </w:rPr>
      </w:pPr>
      <w:r>
        <w:rPr>
          <w:rFonts w:hint="eastAsia"/>
          <w:sz w:val="21"/>
          <w:szCs w:val="21"/>
        </w:rPr>
        <w:t>3.尾款：</w:t>
      </w:r>
      <w:r>
        <w:rPr>
          <w:sz w:val="21"/>
          <w:szCs w:val="21"/>
        </w:rPr>
        <w:t>第二阶段完成资源库平台上线并通过试运行验收合格后，采购人向成交人以转账形式支付合同余款。</w:t>
      </w:r>
      <w:r>
        <w:rPr>
          <w:rFonts w:hint="eastAsia" w:hAnsi="宋体" w:cs="宋体"/>
          <w:b/>
          <w:sz w:val="30"/>
          <w:szCs w:val="30"/>
        </w:rPr>
        <w:br w:type="page"/>
      </w:r>
    </w:p>
    <w:p>
      <w:pPr>
        <w:pStyle w:val="2"/>
        <w:snapToGrid w:val="0"/>
        <w:spacing w:before="0" w:after="0" w:line="240" w:lineRule="auto"/>
        <w:jc w:val="both"/>
        <w:rPr>
          <w:rFonts w:hint="eastAsia" w:hAnsi="宋体" w:cs="宋体"/>
          <w:sz w:val="30"/>
          <w:szCs w:val="30"/>
        </w:rPr>
      </w:pPr>
    </w:p>
    <w:p>
      <w:pPr>
        <w:pStyle w:val="2"/>
        <w:snapToGrid w:val="0"/>
        <w:spacing w:before="0" w:after="0" w:line="240" w:lineRule="auto"/>
        <w:jc w:val="center"/>
        <w:rPr>
          <w:rFonts w:hAnsi="宋体" w:cs="宋体"/>
          <w:sz w:val="30"/>
          <w:szCs w:val="30"/>
        </w:rPr>
      </w:pPr>
      <w:r>
        <w:rPr>
          <w:rFonts w:hint="eastAsia" w:hAnsi="宋体" w:cs="宋体"/>
          <w:sz w:val="30"/>
          <w:szCs w:val="30"/>
        </w:rPr>
        <w:t>第五章  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lang w:val="en-US" w:eastAsia="zh-CN"/>
        </w:rPr>
        <w:t xml:space="preserve">  </w:t>
      </w:r>
      <w:r>
        <w:rPr>
          <w:rFonts w:hint="eastAsia" w:hAnsi="宋体" w:cs="宋体"/>
          <w:bCs/>
          <w:spacing w:val="8"/>
          <w:sz w:val="24"/>
          <w:szCs w:val="24"/>
        </w:rPr>
        <w:t>一、评标办法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本次评标采用综合评标法</w:t>
      </w:r>
      <w:r>
        <w:rPr>
          <w:rFonts w:hAnsi="宋体" w:cs="宋体"/>
          <w:bCs/>
          <w:spacing w:val="8"/>
          <w:sz w:val="24"/>
          <w:szCs w:val="24"/>
        </w:rPr>
        <w:t xml:space="preserve">。 </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、评分办法说明 </w:t>
      </w:r>
    </w:p>
    <w:p>
      <w:pPr>
        <w:adjustRightInd w:val="0"/>
        <w:snapToGrid w:val="0"/>
        <w:spacing w:line="360" w:lineRule="auto"/>
        <w:ind w:firstLine="481" w:firstLineChars="188"/>
        <w:jc w:val="left"/>
        <w:rPr>
          <w:rFonts w:hint="default" w:hAnsi="宋体" w:eastAsia="宋体" w:cs="宋体"/>
          <w:bCs/>
          <w:spacing w:val="8"/>
          <w:sz w:val="24"/>
          <w:szCs w:val="24"/>
          <w:lang w:val="en-US" w:eastAsia="zh-CN"/>
        </w:rPr>
      </w:pPr>
      <w:r>
        <w:rPr>
          <w:rFonts w:hAnsi="宋体" w:cs="宋体"/>
          <w:bCs/>
          <w:spacing w:val="8"/>
          <w:sz w:val="24"/>
          <w:szCs w:val="24"/>
        </w:rPr>
        <w:t>对各投标文件进行详细评审打分的满分为 100 分，各投标人所有评价指标的得分之和就是该投标人的综合得分</w:t>
      </w:r>
      <w:r>
        <w:rPr>
          <w:rFonts w:hint="eastAsia" w:hAnsi="宋体" w:cs="宋体"/>
          <w:bCs/>
          <w:spacing w:val="8"/>
          <w:sz w:val="24"/>
          <w:szCs w:val="24"/>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sz w:val="21"/>
                <w:szCs w:val="21"/>
              </w:rPr>
            </w:pPr>
            <w:r>
              <w:rPr>
                <w:rFonts w:hint="eastAsia"/>
                <w:sz w:val="21"/>
                <w:szCs w:val="21"/>
              </w:rPr>
              <w:t>评分内容</w:t>
            </w:r>
          </w:p>
        </w:tc>
        <w:tc>
          <w:tcPr>
            <w:tcW w:w="709" w:type="dxa"/>
            <w:vAlign w:val="center"/>
          </w:tcPr>
          <w:p>
            <w:pPr>
              <w:pStyle w:val="69"/>
              <w:jc w:val="center"/>
              <w:rPr>
                <w:sz w:val="23"/>
                <w:szCs w:val="23"/>
              </w:rPr>
            </w:pPr>
            <w:r>
              <w:rPr>
                <w:rFonts w:hint="eastAsia"/>
                <w:sz w:val="23"/>
                <w:szCs w:val="23"/>
              </w:rPr>
              <w:t>分值</w:t>
            </w:r>
          </w:p>
        </w:tc>
        <w:tc>
          <w:tcPr>
            <w:tcW w:w="6854" w:type="dxa"/>
          </w:tcPr>
          <w:p>
            <w:pPr>
              <w:pStyle w:val="69"/>
              <w:jc w:val="center"/>
              <w:rPr>
                <w:sz w:val="23"/>
                <w:szCs w:val="23"/>
              </w:rPr>
            </w:pPr>
            <w:r>
              <w:rPr>
                <w:rFonts w:hint="eastAsia"/>
                <w:sz w:val="23"/>
                <w:szCs w:val="23"/>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rFonts w:hAnsi="宋体"/>
                <w:bCs/>
                <w:spacing w:val="8"/>
              </w:rPr>
            </w:pPr>
            <w:r>
              <w:rPr>
                <w:rFonts w:hint="eastAsia"/>
                <w:sz w:val="21"/>
                <w:szCs w:val="21"/>
              </w:rPr>
              <w:t>报价</w:t>
            </w:r>
          </w:p>
        </w:tc>
        <w:tc>
          <w:tcPr>
            <w:tcW w:w="709" w:type="dxa"/>
            <w:vAlign w:val="center"/>
          </w:tcPr>
          <w:p>
            <w:pPr>
              <w:pStyle w:val="69"/>
              <w:jc w:val="center"/>
              <w:rPr>
                <w:color w:val="auto"/>
                <w:sz w:val="21"/>
                <w:szCs w:val="21"/>
              </w:rPr>
            </w:pPr>
            <w:r>
              <w:rPr>
                <w:rFonts w:hint="eastAsia"/>
                <w:sz w:val="21"/>
                <w:szCs w:val="21"/>
              </w:rPr>
              <w:t>1</w:t>
            </w:r>
            <w:r>
              <w:rPr>
                <w:sz w:val="21"/>
                <w:szCs w:val="21"/>
              </w:rPr>
              <w:t>0</w:t>
            </w:r>
            <w:r>
              <w:rPr>
                <w:rFonts w:hint="eastAsia"/>
                <w:sz w:val="21"/>
                <w:szCs w:val="21"/>
              </w:rPr>
              <w:t>分</w:t>
            </w:r>
          </w:p>
        </w:tc>
        <w:tc>
          <w:tcPr>
            <w:tcW w:w="6854" w:type="dxa"/>
          </w:tcPr>
          <w:p>
            <w:pPr>
              <w:pStyle w:val="69"/>
              <w:jc w:val="both"/>
              <w:rPr>
                <w:color w:val="auto"/>
                <w:sz w:val="21"/>
                <w:szCs w:val="21"/>
              </w:rPr>
            </w:pPr>
            <w:r>
              <w:rPr>
                <w:rFonts w:hint="eastAsia"/>
                <w:color w:val="auto"/>
                <w:sz w:val="21"/>
                <w:szCs w:val="21"/>
              </w:rPr>
              <w:t>基准价</w:t>
            </w:r>
            <w:r>
              <w:rPr>
                <w:color w:val="auto"/>
                <w:sz w:val="21"/>
                <w:szCs w:val="21"/>
              </w:rPr>
              <w:t>=</w:t>
            </w:r>
            <w:r>
              <w:rPr>
                <w:rFonts w:hint="eastAsia"/>
                <w:color w:val="auto"/>
                <w:sz w:val="21"/>
                <w:szCs w:val="21"/>
              </w:rPr>
              <w:t>满足文件要求且报价最低的竞争性投标人的最终报价，其价格得分为满分1</w:t>
            </w:r>
            <w:r>
              <w:rPr>
                <w:color w:val="auto"/>
                <w:sz w:val="21"/>
                <w:szCs w:val="21"/>
              </w:rPr>
              <w:t>0</w:t>
            </w:r>
            <w:r>
              <w:rPr>
                <w:rFonts w:hint="eastAsia"/>
                <w:color w:val="auto"/>
                <w:sz w:val="21"/>
                <w:szCs w:val="21"/>
              </w:rPr>
              <w:t>分。</w:t>
            </w:r>
          </w:p>
          <w:p>
            <w:pPr>
              <w:pStyle w:val="69"/>
              <w:jc w:val="both"/>
              <w:rPr>
                <w:color w:val="auto"/>
                <w:sz w:val="21"/>
                <w:szCs w:val="21"/>
              </w:rPr>
            </w:pPr>
            <w:r>
              <w:rPr>
                <w:rFonts w:hint="eastAsia"/>
                <w:color w:val="auto"/>
                <w:sz w:val="21"/>
                <w:szCs w:val="21"/>
              </w:rPr>
              <w:t>报价得分</w:t>
            </w:r>
            <w:r>
              <w:rPr>
                <w:color w:val="auto"/>
                <w:sz w:val="21"/>
                <w:szCs w:val="21"/>
              </w:rPr>
              <w:t>=</w:t>
            </w:r>
            <w:r>
              <w:rPr>
                <w:rFonts w:hint="eastAsia"/>
                <w:color w:val="auto"/>
                <w:sz w:val="21"/>
                <w:szCs w:val="21"/>
              </w:rPr>
              <w:t>（基准价</w:t>
            </w:r>
            <w:r>
              <w:rPr>
                <w:color w:val="auto"/>
                <w:sz w:val="21"/>
                <w:szCs w:val="21"/>
              </w:rPr>
              <w:t>/</w:t>
            </w:r>
            <w:r>
              <w:rPr>
                <w:rFonts w:hint="eastAsia"/>
                <w:color w:val="auto"/>
                <w:sz w:val="21"/>
                <w:szCs w:val="21"/>
              </w:rPr>
              <w:t>最终报价）×1</w:t>
            </w:r>
            <w:r>
              <w:rPr>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sz w:val="21"/>
                <w:szCs w:val="21"/>
              </w:rPr>
            </w:pPr>
            <w:r>
              <w:rPr>
                <w:rFonts w:hint="eastAsia"/>
                <w:sz w:val="21"/>
                <w:szCs w:val="21"/>
              </w:rPr>
              <w:t>企业业绩</w:t>
            </w:r>
          </w:p>
        </w:tc>
        <w:tc>
          <w:tcPr>
            <w:tcW w:w="709" w:type="dxa"/>
            <w:vAlign w:val="center"/>
          </w:tcPr>
          <w:p>
            <w:pPr>
              <w:pStyle w:val="69"/>
              <w:jc w:val="center"/>
              <w:rPr>
                <w:sz w:val="21"/>
                <w:szCs w:val="21"/>
              </w:rPr>
            </w:pPr>
            <w:r>
              <w:rPr>
                <w:rFonts w:hint="eastAsia"/>
                <w:sz w:val="21"/>
                <w:szCs w:val="21"/>
              </w:rPr>
              <w:t>15分</w:t>
            </w:r>
          </w:p>
        </w:tc>
        <w:tc>
          <w:tcPr>
            <w:tcW w:w="6854" w:type="dxa"/>
          </w:tcPr>
          <w:p>
            <w:pPr>
              <w:pStyle w:val="69"/>
              <w:jc w:val="both"/>
              <w:rPr>
                <w:sz w:val="21"/>
                <w:szCs w:val="21"/>
              </w:rPr>
            </w:pPr>
            <w:r>
              <w:rPr>
                <w:rFonts w:hint="eastAsia"/>
                <w:sz w:val="21"/>
                <w:szCs w:val="21"/>
              </w:rPr>
              <w:t>1.投标人须提供</w:t>
            </w:r>
            <w:r>
              <w:rPr>
                <w:sz w:val="21"/>
                <w:szCs w:val="21"/>
              </w:rPr>
              <w:t>2015</w:t>
            </w:r>
            <w:r>
              <w:rPr>
                <w:rFonts w:hint="eastAsia"/>
                <w:sz w:val="21"/>
                <w:szCs w:val="21"/>
              </w:rPr>
              <w:t>年以来建设同类课程资源建设项目业绩合同。每个项目</w:t>
            </w:r>
            <w:r>
              <w:rPr>
                <w:sz w:val="21"/>
                <w:szCs w:val="21"/>
              </w:rPr>
              <w:t>1</w:t>
            </w:r>
            <w:r>
              <w:rPr>
                <w:rFonts w:hint="eastAsia"/>
                <w:sz w:val="21"/>
                <w:szCs w:val="21"/>
              </w:rPr>
              <w:t>分，最多得10分。（附合同复印件，原件备查。以合同签订时间为准）。</w:t>
            </w:r>
          </w:p>
          <w:p>
            <w:pPr>
              <w:pStyle w:val="69"/>
              <w:jc w:val="both"/>
              <w:rPr>
                <w:sz w:val="21"/>
                <w:szCs w:val="21"/>
              </w:rPr>
            </w:pPr>
            <w:r>
              <w:rPr>
                <w:rFonts w:hint="eastAsia"/>
                <w:sz w:val="21"/>
                <w:szCs w:val="21"/>
              </w:rPr>
              <w:t>2.</w:t>
            </w:r>
            <w:r>
              <w:rPr>
                <w:rFonts w:hint="eastAsia" w:hAnsi="宋体"/>
                <w:sz w:val="21"/>
                <w:szCs w:val="21"/>
              </w:rPr>
              <w:t xml:space="preserve"> 投标人提供所制作高校课程案例获评国家精品在线开放课程，有一个得1分，最多得5分。（提供获奖证书及课程制作合同复印件，合同原件备查。）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after="160" w:line="256" w:lineRule="auto"/>
              <w:jc w:val="center"/>
              <w:rPr>
                <w:rFonts w:eastAsia="宋体" w:cs="宋体"/>
                <w:color w:val="000000"/>
                <w:sz w:val="21"/>
                <w:szCs w:val="21"/>
              </w:rPr>
            </w:pPr>
            <w:r>
              <w:rPr>
                <w:rFonts w:hint="eastAsia" w:eastAsia="宋体" w:cs="宋体"/>
                <w:color w:val="000000"/>
                <w:sz w:val="21"/>
                <w:szCs w:val="21"/>
              </w:rPr>
              <w:t>团队成员及场地、硬件设施</w:t>
            </w:r>
          </w:p>
        </w:tc>
        <w:tc>
          <w:tcPr>
            <w:tcW w:w="709" w:type="dxa"/>
            <w:vAlign w:val="center"/>
          </w:tcPr>
          <w:p>
            <w:pPr>
              <w:spacing w:after="160" w:line="256" w:lineRule="auto"/>
              <w:jc w:val="center"/>
              <w:rPr>
                <w:rFonts w:eastAsia="宋体" w:cs="宋体"/>
                <w:color w:val="000000"/>
                <w:sz w:val="21"/>
                <w:szCs w:val="21"/>
              </w:rPr>
            </w:pPr>
            <w:r>
              <w:rPr>
                <w:rFonts w:eastAsia="宋体" w:cs="宋体"/>
                <w:color w:val="000000"/>
                <w:sz w:val="21"/>
                <w:szCs w:val="21"/>
              </w:rPr>
              <w:t>1</w:t>
            </w:r>
            <w:r>
              <w:rPr>
                <w:rFonts w:hint="eastAsia" w:eastAsia="宋体" w:cs="宋体"/>
                <w:color w:val="000000"/>
                <w:sz w:val="21"/>
                <w:szCs w:val="21"/>
              </w:rPr>
              <w:t>0分</w:t>
            </w:r>
          </w:p>
        </w:tc>
        <w:tc>
          <w:tcPr>
            <w:tcW w:w="6854" w:type="dxa"/>
            <w:vAlign w:val="center"/>
          </w:tcPr>
          <w:p>
            <w:pPr>
              <w:spacing w:line="256" w:lineRule="auto"/>
              <w:rPr>
                <w:rFonts w:eastAsia="宋体" w:cs="宋体"/>
                <w:color w:val="000000"/>
                <w:sz w:val="21"/>
                <w:szCs w:val="21"/>
              </w:rPr>
            </w:pPr>
            <w:r>
              <w:rPr>
                <w:rFonts w:hint="eastAsia" w:eastAsia="宋体" w:cs="宋体"/>
                <w:color w:val="000000"/>
                <w:sz w:val="21"/>
                <w:szCs w:val="21"/>
              </w:rPr>
              <w:t>根据投标人拟投入本项目的人员配置和摄制场地、硬件设施评价。</w:t>
            </w:r>
          </w:p>
          <w:p>
            <w:pPr>
              <w:spacing w:line="256" w:lineRule="auto"/>
              <w:rPr>
                <w:rFonts w:eastAsia="宋体" w:cs="宋体"/>
                <w:color w:val="000000"/>
                <w:sz w:val="21"/>
                <w:szCs w:val="21"/>
              </w:rPr>
            </w:pPr>
            <w:r>
              <w:rPr>
                <w:rFonts w:hint="eastAsia" w:eastAsia="宋体" w:cs="宋体"/>
                <w:color w:val="000000"/>
                <w:sz w:val="21"/>
                <w:szCs w:val="21"/>
              </w:rPr>
              <w:t>1.团队成员配置合理，得3分；一人不合理扣1分，最多扣3分。</w:t>
            </w:r>
          </w:p>
          <w:p>
            <w:pPr>
              <w:spacing w:line="256" w:lineRule="auto"/>
              <w:rPr>
                <w:rFonts w:eastAsia="宋体" w:cs="宋体"/>
                <w:color w:val="000000"/>
                <w:sz w:val="21"/>
                <w:szCs w:val="21"/>
              </w:rPr>
            </w:pPr>
            <w:r>
              <w:rPr>
                <w:rFonts w:hint="eastAsia" w:eastAsia="宋体" w:cs="宋体"/>
                <w:color w:val="000000"/>
                <w:sz w:val="21"/>
                <w:szCs w:val="21"/>
              </w:rPr>
              <w:t>2.团队成员在本项目期间不参与其他项目，得2分；否则，不得分。</w:t>
            </w:r>
          </w:p>
          <w:p>
            <w:pPr>
              <w:spacing w:line="256" w:lineRule="auto"/>
              <w:rPr>
                <w:rFonts w:eastAsia="宋体" w:cs="宋体"/>
                <w:color w:val="000000"/>
                <w:sz w:val="21"/>
                <w:szCs w:val="21"/>
              </w:rPr>
            </w:pPr>
            <w:r>
              <w:rPr>
                <w:rFonts w:hint="eastAsia" w:eastAsia="宋体" w:cs="宋体"/>
                <w:color w:val="000000"/>
                <w:sz w:val="21"/>
                <w:szCs w:val="21"/>
              </w:rPr>
              <w:t>3.设备齐全，配置合理，得2分；一项不合理扣1分，最多扣2分。</w:t>
            </w:r>
          </w:p>
          <w:p>
            <w:pPr>
              <w:spacing w:line="256" w:lineRule="auto"/>
              <w:rPr>
                <w:rFonts w:hint="eastAsia" w:eastAsia="宋体" w:cs="宋体"/>
                <w:color w:val="000000"/>
                <w:sz w:val="21"/>
                <w:szCs w:val="21"/>
              </w:rPr>
            </w:pPr>
            <w:r>
              <w:rPr>
                <w:rFonts w:hint="eastAsia" w:eastAsia="宋体" w:cs="宋体"/>
                <w:color w:val="000000"/>
                <w:sz w:val="21"/>
                <w:szCs w:val="21"/>
              </w:rPr>
              <w:t>4.场地安排合理，便于项目实施，得3分；不便利得1分；无场地安排，不得分。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rFonts w:hAnsi="宋体"/>
                <w:bCs/>
                <w:spacing w:val="8"/>
              </w:rPr>
            </w:pPr>
            <w:r>
              <w:rPr>
                <w:rFonts w:hint="eastAsia"/>
                <w:sz w:val="21"/>
                <w:szCs w:val="21"/>
              </w:rPr>
              <w:t>技术指标符合性</w:t>
            </w:r>
          </w:p>
        </w:tc>
        <w:tc>
          <w:tcPr>
            <w:tcW w:w="709" w:type="dxa"/>
            <w:vAlign w:val="center"/>
          </w:tcPr>
          <w:p>
            <w:pPr>
              <w:pStyle w:val="69"/>
              <w:jc w:val="center"/>
              <w:rPr>
                <w:rFonts w:hAnsi="宋体"/>
                <w:sz w:val="21"/>
                <w:szCs w:val="21"/>
              </w:rPr>
            </w:pPr>
            <w:r>
              <w:rPr>
                <w:rFonts w:hAnsi="宋体"/>
                <w:sz w:val="21"/>
                <w:szCs w:val="21"/>
              </w:rPr>
              <w:t>1</w:t>
            </w:r>
            <w:r>
              <w:rPr>
                <w:rFonts w:hint="eastAsia" w:hAnsi="宋体"/>
                <w:sz w:val="21"/>
                <w:szCs w:val="21"/>
              </w:rPr>
              <w:t>0分</w:t>
            </w:r>
          </w:p>
        </w:tc>
        <w:tc>
          <w:tcPr>
            <w:tcW w:w="6854" w:type="dxa"/>
          </w:tcPr>
          <w:p>
            <w:pPr>
              <w:spacing w:line="256" w:lineRule="auto"/>
              <w:rPr>
                <w:rFonts w:eastAsia="宋体" w:cs="宋体"/>
                <w:color w:val="000000"/>
                <w:sz w:val="21"/>
                <w:szCs w:val="21"/>
              </w:rPr>
            </w:pPr>
            <w:r>
              <w:rPr>
                <w:rFonts w:hint="eastAsia" w:eastAsia="宋体" w:cs="宋体"/>
                <w:color w:val="000000"/>
                <w:sz w:val="21"/>
                <w:szCs w:val="21"/>
              </w:rPr>
              <w:t>投标人制作的课程资源，具有良好的扩展性和应用性，符合建设功能要求，各项技术指标要求均满足文件要求的，得</w:t>
            </w:r>
            <w:r>
              <w:rPr>
                <w:rFonts w:eastAsia="宋体" w:cs="宋体"/>
                <w:color w:val="000000"/>
                <w:sz w:val="21"/>
                <w:szCs w:val="21"/>
              </w:rPr>
              <w:t>1</w:t>
            </w:r>
            <w:r>
              <w:rPr>
                <w:rFonts w:hint="eastAsia" w:eastAsia="宋体" w:cs="宋体"/>
                <w:color w:val="000000"/>
                <w:sz w:val="21"/>
                <w:szCs w:val="21"/>
              </w:rPr>
              <w:t>0</w:t>
            </w:r>
            <w:r>
              <w:rPr>
                <w:rFonts w:eastAsia="宋体" w:cs="宋体"/>
                <w:color w:val="000000"/>
                <w:sz w:val="21"/>
                <w:szCs w:val="21"/>
              </w:rPr>
              <w:t xml:space="preserve"> </w:t>
            </w:r>
            <w:r>
              <w:rPr>
                <w:rFonts w:hint="eastAsia" w:eastAsia="宋体" w:cs="宋体"/>
                <w:color w:val="000000"/>
                <w:sz w:val="21"/>
                <w:szCs w:val="21"/>
              </w:rPr>
              <w:t>分。</w:t>
            </w:r>
          </w:p>
          <w:p>
            <w:pPr>
              <w:spacing w:line="256" w:lineRule="auto"/>
              <w:rPr>
                <w:rFonts w:eastAsia="宋体" w:cs="宋体"/>
                <w:color w:val="000000"/>
                <w:sz w:val="21"/>
                <w:szCs w:val="21"/>
              </w:rPr>
            </w:pPr>
            <w:r>
              <w:rPr>
                <w:rFonts w:hint="eastAsia" w:eastAsia="宋体" w:cs="宋体"/>
                <w:color w:val="000000"/>
                <w:sz w:val="21"/>
                <w:szCs w:val="21"/>
              </w:rPr>
              <w:t>根据文件要求、供应商提供的技术参数及功能说明材料，判断是否满足要求，每有一项不满足要求的扣</w:t>
            </w:r>
            <w:r>
              <w:rPr>
                <w:rFonts w:eastAsia="宋体" w:cs="宋体"/>
                <w:color w:val="000000"/>
                <w:sz w:val="21"/>
                <w:szCs w:val="21"/>
              </w:rPr>
              <w:t>2</w:t>
            </w:r>
            <w:r>
              <w:rPr>
                <w:rFonts w:hint="eastAsia" w:eastAsia="宋体" w:cs="宋体"/>
                <w:color w:val="00000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rFonts w:hAnsi="宋体"/>
                <w:bCs/>
                <w:spacing w:val="8"/>
              </w:rPr>
            </w:pPr>
            <w:r>
              <w:rPr>
                <w:rFonts w:hint="eastAsia"/>
                <w:sz w:val="21"/>
                <w:szCs w:val="21"/>
              </w:rPr>
              <w:t>投标演示</w:t>
            </w:r>
          </w:p>
        </w:tc>
        <w:tc>
          <w:tcPr>
            <w:tcW w:w="709" w:type="dxa"/>
            <w:vAlign w:val="center"/>
          </w:tcPr>
          <w:p>
            <w:pPr>
              <w:pStyle w:val="69"/>
              <w:jc w:val="center"/>
              <w:rPr>
                <w:sz w:val="21"/>
                <w:szCs w:val="21"/>
              </w:rPr>
            </w:pPr>
            <w:r>
              <w:rPr>
                <w:sz w:val="21"/>
                <w:szCs w:val="21"/>
              </w:rPr>
              <w:t>25</w:t>
            </w:r>
            <w:r>
              <w:rPr>
                <w:rFonts w:hint="eastAsia"/>
                <w:sz w:val="21"/>
                <w:szCs w:val="21"/>
              </w:rPr>
              <w:t>分</w:t>
            </w:r>
          </w:p>
        </w:tc>
        <w:tc>
          <w:tcPr>
            <w:tcW w:w="6854" w:type="dxa"/>
          </w:tcPr>
          <w:p>
            <w:pPr>
              <w:spacing w:line="256" w:lineRule="auto"/>
              <w:rPr>
                <w:rFonts w:eastAsia="宋体" w:cs="宋体"/>
                <w:color w:val="000000"/>
                <w:sz w:val="21"/>
                <w:szCs w:val="21"/>
              </w:rPr>
            </w:pPr>
            <w:r>
              <w:rPr>
                <w:rFonts w:hint="eastAsia" w:eastAsia="宋体" w:cs="宋体"/>
                <w:color w:val="000000"/>
                <w:sz w:val="21"/>
                <w:szCs w:val="21"/>
              </w:rPr>
              <w:t>各投标人提交5类演示案例。</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1</w:t>
            </w:r>
            <w:r>
              <w:rPr>
                <w:rFonts w:hint="eastAsia" w:eastAsia="宋体" w:cs="宋体"/>
                <w:color w:val="000000"/>
                <w:sz w:val="21"/>
                <w:szCs w:val="21"/>
              </w:rPr>
              <w:t>）微课类（理论）资源案例演示。</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2</w:t>
            </w:r>
            <w:r>
              <w:rPr>
                <w:rFonts w:hint="eastAsia" w:eastAsia="宋体" w:cs="宋体"/>
                <w:color w:val="000000"/>
                <w:sz w:val="21"/>
                <w:szCs w:val="21"/>
              </w:rPr>
              <w:t>）微课类（实操）资源案例演示。</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3</w:t>
            </w:r>
            <w:r>
              <w:rPr>
                <w:rFonts w:hint="eastAsia" w:eastAsia="宋体" w:cs="宋体"/>
                <w:color w:val="000000"/>
                <w:sz w:val="21"/>
                <w:szCs w:val="21"/>
              </w:rPr>
              <w:t>）视频类资源案例演示。</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4</w:t>
            </w:r>
            <w:r>
              <w:rPr>
                <w:rFonts w:hint="eastAsia" w:eastAsia="宋体" w:cs="宋体"/>
                <w:color w:val="000000"/>
                <w:sz w:val="21"/>
                <w:szCs w:val="21"/>
              </w:rPr>
              <w:t>）动画类资源案例演示。</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5</w:t>
            </w:r>
            <w:r>
              <w:rPr>
                <w:rFonts w:hint="eastAsia" w:eastAsia="宋体" w:cs="宋体"/>
                <w:color w:val="000000"/>
                <w:sz w:val="21"/>
                <w:szCs w:val="21"/>
              </w:rPr>
              <w:t>）音频类资源案例演示。</w:t>
            </w:r>
          </w:p>
          <w:p>
            <w:pPr>
              <w:spacing w:line="256" w:lineRule="auto"/>
              <w:rPr>
                <w:rFonts w:eastAsia="宋体" w:cs="宋体"/>
                <w:color w:val="000000"/>
                <w:sz w:val="21"/>
                <w:szCs w:val="21"/>
              </w:rPr>
            </w:pPr>
            <w:r>
              <w:rPr>
                <w:rFonts w:hint="eastAsia" w:eastAsia="宋体" w:cs="宋体"/>
                <w:color w:val="000000"/>
                <w:sz w:val="21"/>
                <w:szCs w:val="21"/>
              </w:rPr>
              <w:t>评分依据：</w:t>
            </w:r>
          </w:p>
          <w:p>
            <w:pPr>
              <w:spacing w:line="256" w:lineRule="auto"/>
              <w:rPr>
                <w:rFonts w:eastAsia="宋体" w:cs="宋体"/>
                <w:color w:val="000000"/>
                <w:sz w:val="21"/>
                <w:szCs w:val="21"/>
              </w:rPr>
            </w:pPr>
            <w:r>
              <w:rPr>
                <w:rFonts w:eastAsia="宋体" w:cs="宋体"/>
                <w:color w:val="000000"/>
                <w:sz w:val="21"/>
                <w:szCs w:val="21"/>
              </w:rPr>
              <w:t>1.</w:t>
            </w:r>
            <w:r>
              <w:rPr>
                <w:rFonts w:hint="eastAsia" w:eastAsia="宋体" w:cs="宋体"/>
                <w:color w:val="000000"/>
                <w:sz w:val="21"/>
                <w:szCs w:val="21"/>
              </w:rPr>
              <w:t>每个演示项目分值为</w:t>
            </w:r>
            <w:r>
              <w:rPr>
                <w:rFonts w:eastAsia="宋体" w:cs="宋体"/>
                <w:color w:val="000000"/>
                <w:sz w:val="21"/>
                <w:szCs w:val="21"/>
              </w:rPr>
              <w:t>5</w:t>
            </w:r>
            <w:r>
              <w:rPr>
                <w:rFonts w:hint="eastAsia" w:eastAsia="宋体" w:cs="宋体"/>
                <w:color w:val="000000"/>
                <w:sz w:val="21"/>
                <w:szCs w:val="21"/>
              </w:rPr>
              <w:t>分，共</w:t>
            </w:r>
            <w:r>
              <w:rPr>
                <w:rFonts w:eastAsia="宋体" w:cs="宋体"/>
                <w:color w:val="000000"/>
                <w:sz w:val="21"/>
                <w:szCs w:val="21"/>
              </w:rPr>
              <w:t>25</w:t>
            </w:r>
            <w:r>
              <w:rPr>
                <w:rFonts w:hint="eastAsia" w:eastAsia="宋体" w:cs="宋体"/>
                <w:color w:val="000000"/>
                <w:sz w:val="21"/>
                <w:szCs w:val="21"/>
              </w:rPr>
              <w:t>分。</w:t>
            </w:r>
          </w:p>
          <w:p>
            <w:pPr>
              <w:spacing w:line="256" w:lineRule="auto"/>
              <w:rPr>
                <w:rFonts w:eastAsia="宋体" w:cs="宋体"/>
                <w:color w:val="000000"/>
                <w:sz w:val="21"/>
                <w:szCs w:val="21"/>
              </w:rPr>
            </w:pPr>
            <w:r>
              <w:rPr>
                <w:rFonts w:eastAsia="宋体" w:cs="宋体"/>
                <w:color w:val="000000"/>
                <w:sz w:val="21"/>
                <w:szCs w:val="21"/>
              </w:rPr>
              <w:t>2.</w:t>
            </w:r>
            <w:r>
              <w:rPr>
                <w:rFonts w:hint="eastAsia" w:eastAsia="宋体" w:cs="宋体"/>
                <w:color w:val="000000"/>
                <w:sz w:val="21"/>
                <w:szCs w:val="21"/>
              </w:rPr>
              <w:t>根据投标人提供的演示案例，为每个演示项目评分。</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1</w:t>
            </w:r>
            <w:r>
              <w:rPr>
                <w:rFonts w:hint="eastAsia" w:eastAsia="宋体" w:cs="宋体"/>
                <w:color w:val="000000"/>
                <w:sz w:val="21"/>
                <w:szCs w:val="21"/>
              </w:rPr>
              <w:t>）演示案例与本项目专业类型（工科）吻合，得2分；否则得1分。</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2</w:t>
            </w:r>
            <w:r>
              <w:rPr>
                <w:rFonts w:hint="eastAsia" w:eastAsia="宋体" w:cs="宋体"/>
                <w:color w:val="000000"/>
                <w:sz w:val="21"/>
                <w:szCs w:val="21"/>
              </w:rPr>
              <w:t>）演示案例布局合理、配色美观，得1分；否则不得分。</w:t>
            </w:r>
          </w:p>
          <w:p>
            <w:pPr>
              <w:spacing w:line="256" w:lineRule="auto"/>
              <w:rPr>
                <w:rFonts w:eastAsia="宋体" w:cs="宋体"/>
                <w:color w:val="000000"/>
                <w:sz w:val="21"/>
                <w:szCs w:val="21"/>
              </w:rPr>
            </w:pPr>
            <w:r>
              <w:rPr>
                <w:rFonts w:hint="eastAsia" w:eastAsia="宋体" w:cs="宋体"/>
                <w:color w:val="000000"/>
                <w:sz w:val="21"/>
                <w:szCs w:val="21"/>
              </w:rPr>
              <w:t>（</w:t>
            </w:r>
            <w:r>
              <w:rPr>
                <w:rFonts w:eastAsia="宋体" w:cs="宋体"/>
                <w:color w:val="000000"/>
                <w:sz w:val="21"/>
                <w:szCs w:val="21"/>
              </w:rPr>
              <w:t>3</w:t>
            </w:r>
            <w:r>
              <w:rPr>
                <w:rFonts w:hint="eastAsia" w:eastAsia="宋体" w:cs="宋体"/>
                <w:color w:val="000000"/>
                <w:sz w:val="21"/>
                <w:szCs w:val="21"/>
              </w:rPr>
              <w:t>）演示案例表现手段合理，得2分；一处不合理扣1分，最多扣2分。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sz w:val="21"/>
                <w:szCs w:val="21"/>
              </w:rPr>
            </w:pPr>
            <w:r>
              <w:rPr>
                <w:rFonts w:hint="eastAsia"/>
                <w:sz w:val="21"/>
                <w:szCs w:val="21"/>
              </w:rPr>
              <w:t>项目实施方案</w:t>
            </w:r>
          </w:p>
        </w:tc>
        <w:tc>
          <w:tcPr>
            <w:tcW w:w="709" w:type="dxa"/>
            <w:vAlign w:val="center"/>
          </w:tcPr>
          <w:p>
            <w:pPr>
              <w:pStyle w:val="69"/>
              <w:jc w:val="center"/>
              <w:rPr>
                <w:sz w:val="21"/>
                <w:szCs w:val="21"/>
              </w:rPr>
            </w:pPr>
            <w:r>
              <w:rPr>
                <w:rFonts w:hint="eastAsia"/>
                <w:sz w:val="21"/>
                <w:szCs w:val="21"/>
              </w:rPr>
              <w:t>10分</w:t>
            </w:r>
          </w:p>
        </w:tc>
        <w:tc>
          <w:tcPr>
            <w:tcW w:w="6854" w:type="dxa"/>
          </w:tcPr>
          <w:p>
            <w:pPr>
              <w:spacing w:line="256" w:lineRule="auto"/>
              <w:rPr>
                <w:rFonts w:eastAsia="宋体" w:cs="宋体"/>
                <w:color w:val="000000"/>
                <w:sz w:val="21"/>
                <w:szCs w:val="21"/>
              </w:rPr>
            </w:pPr>
            <w:r>
              <w:rPr>
                <w:rFonts w:hint="eastAsia" w:eastAsia="宋体" w:cs="宋体"/>
                <w:color w:val="000000"/>
                <w:sz w:val="21"/>
                <w:szCs w:val="21"/>
              </w:rPr>
              <w:t>投标人自行编制项目实施方案，内容包括①进度安排；②技术服务计划及保证措施；③现场测试调试方案；④质量保证措施；⑤验收方案。</w:t>
            </w:r>
          </w:p>
          <w:p>
            <w:pPr>
              <w:spacing w:line="256" w:lineRule="auto"/>
              <w:rPr>
                <w:rFonts w:eastAsia="宋体" w:cs="宋体"/>
                <w:color w:val="000000"/>
                <w:sz w:val="21"/>
                <w:szCs w:val="21"/>
              </w:rPr>
            </w:pPr>
            <w:r>
              <w:rPr>
                <w:rFonts w:hint="eastAsia" w:eastAsia="宋体" w:cs="宋体"/>
                <w:color w:val="000000"/>
                <w:sz w:val="21"/>
                <w:szCs w:val="21"/>
              </w:rPr>
              <w:t>（1）进度安排合理，能按时完成本项目，2分。</w:t>
            </w:r>
          </w:p>
          <w:p>
            <w:pPr>
              <w:spacing w:line="256" w:lineRule="auto"/>
              <w:rPr>
                <w:rFonts w:eastAsia="宋体" w:cs="宋体"/>
                <w:color w:val="000000"/>
                <w:sz w:val="21"/>
                <w:szCs w:val="21"/>
              </w:rPr>
            </w:pPr>
            <w:r>
              <w:rPr>
                <w:rFonts w:hint="eastAsia" w:eastAsia="宋体" w:cs="宋体"/>
                <w:color w:val="000000"/>
                <w:sz w:val="21"/>
                <w:szCs w:val="21"/>
              </w:rPr>
              <w:t>（2）技术服务计划完善，保证措施有力，能实现密切交流合作，2分。</w:t>
            </w:r>
          </w:p>
          <w:p>
            <w:pPr>
              <w:spacing w:line="256" w:lineRule="auto"/>
              <w:rPr>
                <w:rFonts w:eastAsia="宋体" w:cs="宋体"/>
                <w:color w:val="000000"/>
                <w:sz w:val="21"/>
                <w:szCs w:val="21"/>
              </w:rPr>
            </w:pPr>
            <w:r>
              <w:rPr>
                <w:rFonts w:hint="eastAsia" w:eastAsia="宋体" w:cs="宋体"/>
                <w:color w:val="000000"/>
                <w:sz w:val="21"/>
                <w:szCs w:val="21"/>
              </w:rPr>
              <w:t>（3）现场测试调试方案，详细、可行，2分。</w:t>
            </w:r>
          </w:p>
          <w:p>
            <w:pPr>
              <w:spacing w:line="256" w:lineRule="auto"/>
              <w:rPr>
                <w:rFonts w:eastAsia="宋体" w:cs="宋体"/>
                <w:color w:val="000000"/>
                <w:sz w:val="21"/>
                <w:szCs w:val="21"/>
              </w:rPr>
            </w:pPr>
            <w:r>
              <w:rPr>
                <w:rFonts w:hint="eastAsia" w:eastAsia="宋体" w:cs="宋体"/>
                <w:color w:val="000000"/>
                <w:sz w:val="21"/>
                <w:szCs w:val="21"/>
              </w:rPr>
              <w:t>（4）质量保证措施完善，2分。</w:t>
            </w:r>
          </w:p>
          <w:p>
            <w:pPr>
              <w:spacing w:line="256" w:lineRule="auto"/>
              <w:rPr>
                <w:rFonts w:hint="eastAsia" w:eastAsia="宋体" w:cs="宋体"/>
                <w:color w:val="000000"/>
                <w:sz w:val="21"/>
                <w:szCs w:val="21"/>
              </w:rPr>
            </w:pPr>
            <w:r>
              <w:rPr>
                <w:rFonts w:hint="eastAsia" w:eastAsia="宋体" w:cs="宋体"/>
                <w:color w:val="000000"/>
                <w:sz w:val="21"/>
                <w:szCs w:val="21"/>
              </w:rPr>
              <w:t>（5）验收方案完善、可行，2分。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rFonts w:hAnsi="宋体"/>
                <w:bCs/>
                <w:spacing w:val="8"/>
              </w:rPr>
            </w:pPr>
            <w:r>
              <w:rPr>
                <w:rFonts w:hint="eastAsia"/>
                <w:sz w:val="21"/>
                <w:szCs w:val="21"/>
              </w:rPr>
              <w:t>拓展服务内容</w:t>
            </w:r>
          </w:p>
        </w:tc>
        <w:tc>
          <w:tcPr>
            <w:tcW w:w="709" w:type="dxa"/>
            <w:vAlign w:val="center"/>
          </w:tcPr>
          <w:p>
            <w:pPr>
              <w:pStyle w:val="69"/>
              <w:jc w:val="center"/>
              <w:rPr>
                <w:sz w:val="21"/>
                <w:szCs w:val="21"/>
              </w:rPr>
            </w:pPr>
            <w:r>
              <w:rPr>
                <w:rFonts w:hint="eastAsia"/>
                <w:sz w:val="21"/>
                <w:szCs w:val="21"/>
              </w:rPr>
              <w:t>10分</w:t>
            </w:r>
          </w:p>
        </w:tc>
        <w:tc>
          <w:tcPr>
            <w:tcW w:w="6854" w:type="dxa"/>
          </w:tcPr>
          <w:p>
            <w:pPr>
              <w:spacing w:line="256" w:lineRule="auto"/>
              <w:rPr>
                <w:rFonts w:eastAsia="宋体" w:cs="宋体"/>
                <w:color w:val="000000"/>
                <w:sz w:val="21"/>
                <w:szCs w:val="21"/>
              </w:rPr>
            </w:pPr>
            <w:r>
              <w:rPr>
                <w:rFonts w:hint="eastAsia" w:eastAsia="宋体" w:cs="宋体"/>
                <w:color w:val="000000"/>
                <w:sz w:val="21"/>
                <w:szCs w:val="21"/>
              </w:rPr>
              <w:t>投标人在满足采购人需求的基础上能拓展相关技术服务内容。</w:t>
            </w:r>
          </w:p>
          <w:p>
            <w:pPr>
              <w:spacing w:line="256" w:lineRule="auto"/>
              <w:rPr>
                <w:rFonts w:eastAsia="宋体" w:cs="宋体"/>
                <w:color w:val="000000"/>
                <w:sz w:val="21"/>
                <w:szCs w:val="21"/>
              </w:rPr>
            </w:pPr>
            <w:r>
              <w:rPr>
                <w:rFonts w:hint="eastAsia" w:eastAsia="宋体" w:cs="宋体"/>
                <w:color w:val="000000"/>
                <w:sz w:val="21"/>
                <w:szCs w:val="21"/>
              </w:rPr>
              <w:t>每增加一项拓展的技术服务得2分，最多得10分。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69"/>
              <w:jc w:val="center"/>
              <w:rPr>
                <w:sz w:val="21"/>
                <w:szCs w:val="21"/>
              </w:rPr>
            </w:pPr>
            <w:r>
              <w:rPr>
                <w:rFonts w:hint="eastAsia"/>
                <w:sz w:val="21"/>
                <w:szCs w:val="21"/>
              </w:rPr>
              <w:t>售后服务</w:t>
            </w:r>
          </w:p>
        </w:tc>
        <w:tc>
          <w:tcPr>
            <w:tcW w:w="709" w:type="dxa"/>
            <w:vAlign w:val="center"/>
          </w:tcPr>
          <w:p>
            <w:pPr>
              <w:pStyle w:val="69"/>
              <w:jc w:val="center"/>
              <w:rPr>
                <w:sz w:val="21"/>
                <w:szCs w:val="21"/>
              </w:rPr>
            </w:pPr>
            <w:r>
              <w:rPr>
                <w:rFonts w:hint="eastAsia"/>
                <w:sz w:val="21"/>
                <w:szCs w:val="21"/>
              </w:rPr>
              <w:t>10分</w:t>
            </w:r>
          </w:p>
        </w:tc>
        <w:tc>
          <w:tcPr>
            <w:tcW w:w="6854" w:type="dxa"/>
          </w:tcPr>
          <w:p>
            <w:pPr>
              <w:spacing w:line="256" w:lineRule="auto"/>
              <w:rPr>
                <w:rFonts w:eastAsia="宋体" w:cs="宋体"/>
                <w:color w:val="000000"/>
                <w:sz w:val="21"/>
                <w:szCs w:val="21"/>
              </w:rPr>
            </w:pPr>
            <w:r>
              <w:rPr>
                <w:rFonts w:eastAsia="宋体" w:cs="宋体"/>
                <w:color w:val="000000"/>
                <w:sz w:val="21"/>
                <w:szCs w:val="21"/>
              </w:rPr>
              <w:t>1.</w:t>
            </w:r>
            <w:r>
              <w:rPr>
                <w:rFonts w:hint="eastAsia" w:eastAsia="宋体" w:cs="宋体"/>
                <w:color w:val="000000"/>
                <w:sz w:val="21"/>
                <w:szCs w:val="21"/>
              </w:rPr>
              <w:t>售后服务（5分）</w:t>
            </w:r>
          </w:p>
          <w:p>
            <w:pPr>
              <w:spacing w:line="256" w:lineRule="auto"/>
              <w:rPr>
                <w:rFonts w:eastAsia="宋体" w:cs="宋体"/>
                <w:color w:val="000000"/>
                <w:sz w:val="21"/>
                <w:szCs w:val="21"/>
              </w:rPr>
            </w:pPr>
            <w:r>
              <w:rPr>
                <w:rFonts w:hint="eastAsia" w:eastAsia="宋体" w:cs="宋体"/>
                <w:color w:val="000000"/>
                <w:sz w:val="21"/>
                <w:szCs w:val="21"/>
              </w:rPr>
              <w:t>售后服务内容应至少包括售后服务范围内容、免费维修时间、解决质量或操作问题的响应时间、解决问题时间、维修维护单位名称、维修人员情况、应急处理方案等，并附相关售后服务承诺书。</w:t>
            </w:r>
          </w:p>
          <w:p>
            <w:pPr>
              <w:spacing w:line="256" w:lineRule="auto"/>
              <w:rPr>
                <w:rFonts w:eastAsia="宋体" w:cs="宋体"/>
                <w:color w:val="000000"/>
                <w:sz w:val="21"/>
                <w:szCs w:val="21"/>
              </w:rPr>
            </w:pPr>
            <w:r>
              <w:rPr>
                <w:rFonts w:hint="eastAsia" w:eastAsia="宋体" w:cs="宋体"/>
                <w:color w:val="000000"/>
                <w:sz w:val="21"/>
                <w:szCs w:val="21"/>
              </w:rPr>
              <w:t>售后服务内容完整详细，得5分；每缺一项扣1分，最多扣5分。</w:t>
            </w:r>
          </w:p>
          <w:p>
            <w:pPr>
              <w:spacing w:line="256" w:lineRule="auto"/>
              <w:rPr>
                <w:rFonts w:eastAsia="宋体" w:cs="宋体"/>
                <w:color w:val="000000"/>
                <w:sz w:val="21"/>
                <w:szCs w:val="21"/>
              </w:rPr>
            </w:pPr>
            <w:r>
              <w:rPr>
                <w:rFonts w:eastAsia="宋体" w:cs="宋体"/>
                <w:color w:val="000000"/>
                <w:sz w:val="21"/>
                <w:szCs w:val="21"/>
              </w:rPr>
              <w:t>2.</w:t>
            </w:r>
            <w:r>
              <w:rPr>
                <w:rFonts w:hint="eastAsia" w:eastAsia="宋体" w:cs="宋体"/>
                <w:color w:val="000000"/>
                <w:sz w:val="21"/>
                <w:szCs w:val="21"/>
              </w:rPr>
              <w:t>便捷的售后服务机构（5分）</w:t>
            </w:r>
          </w:p>
          <w:p>
            <w:pPr>
              <w:spacing w:line="256" w:lineRule="auto"/>
              <w:rPr>
                <w:rFonts w:eastAsia="宋体" w:cs="宋体"/>
                <w:color w:val="000000"/>
                <w:sz w:val="21"/>
                <w:szCs w:val="21"/>
              </w:rPr>
            </w:pPr>
            <w:r>
              <w:rPr>
                <w:rFonts w:hint="eastAsia" w:eastAsia="宋体" w:cs="宋体"/>
                <w:color w:val="000000"/>
                <w:sz w:val="21"/>
                <w:szCs w:val="21"/>
              </w:rPr>
              <w:t>为确保项目实施的专业性与稳定性，保证服务团队能及时进行本地服务和技术对接</w:t>
            </w:r>
            <w:r>
              <w:rPr>
                <w:rFonts w:eastAsia="宋体" w:cs="宋体"/>
                <w:color w:val="000000"/>
                <w:sz w:val="21"/>
                <w:szCs w:val="21"/>
              </w:rPr>
              <w:t>,</w:t>
            </w:r>
            <w:r>
              <w:rPr>
                <w:rFonts w:hint="eastAsia" w:eastAsia="宋体" w:cs="宋体"/>
                <w:color w:val="000000"/>
                <w:sz w:val="21"/>
                <w:szCs w:val="21"/>
              </w:rPr>
              <w:t>投标人在本地设有售后服务网点且便利，5分（提供售后服务网点名称、地址、联系人及联系方式，须提供工商登记证明文件）。</w:t>
            </w:r>
          </w:p>
        </w:tc>
      </w:tr>
    </w:tbl>
    <w:p>
      <w:r>
        <w:rPr>
          <w:rFonts w:hint="eastAsia" w:hAnsi="宋体" w:cs="宋体"/>
          <w:sz w:val="30"/>
          <w:szCs w:val="30"/>
        </w:rPr>
        <w:br w:type="page"/>
      </w:r>
    </w:p>
    <w:bookmarkEnd w:id="41"/>
    <w:bookmarkEnd w:id="42"/>
    <w:p/>
    <w:p>
      <w:pPr>
        <w:pStyle w:val="2"/>
        <w:numPr>
          <w:ilvl w:val="0"/>
          <w:numId w:val="4"/>
        </w:numPr>
        <w:snapToGrid w:val="0"/>
        <w:spacing w:before="0" w:after="0" w:line="360" w:lineRule="auto"/>
        <w:ind w:left="0" w:leftChars="0" w:firstLine="0" w:firstLineChars="0"/>
        <w:jc w:val="center"/>
        <w:rPr>
          <w:rFonts w:hint="eastAsia" w:hAnsi="宋体" w:cs="宋体"/>
          <w:sz w:val="30"/>
          <w:szCs w:val="30"/>
        </w:rPr>
      </w:pP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sz w:val="24"/>
          <w:szCs w:val="24"/>
          <w:lang w:val="en-US" w:eastAsia="zh-CN" w:bidi="ar-SA"/>
        </w:rPr>
        <w:t>（供参考）</w:t>
      </w:r>
    </w:p>
    <w:p>
      <w:pPr>
        <w:snapToGrid w:val="0"/>
        <w:spacing w:line="360" w:lineRule="auto"/>
        <w:ind w:left="324" w:hanging="324" w:hangingChars="135"/>
        <w:rPr>
          <w:rFonts w:hAnsi="宋体" w:cs="宋体"/>
          <w:sz w:val="24"/>
          <w:szCs w:val="24"/>
        </w:rPr>
      </w:pPr>
      <w:r>
        <w:rPr>
          <w:rFonts w:hint="eastAsia" w:hAnsi="宋体" w:cs="宋体"/>
          <w:sz w:val="24"/>
          <w:szCs w:val="24"/>
        </w:rPr>
        <w:t>合同编号：XXXX。</w:t>
      </w:r>
    </w:p>
    <w:p>
      <w:pPr>
        <w:snapToGrid w:val="0"/>
        <w:spacing w:line="360" w:lineRule="auto"/>
        <w:ind w:left="324" w:hanging="324" w:hangingChars="135"/>
        <w:rPr>
          <w:rFonts w:hAnsi="宋体" w:cs="宋体"/>
          <w:sz w:val="24"/>
          <w:szCs w:val="24"/>
        </w:rPr>
      </w:pPr>
      <w:r>
        <w:rPr>
          <w:rFonts w:hint="eastAsia" w:hAnsi="宋体" w:cs="宋体"/>
          <w:sz w:val="24"/>
          <w:szCs w:val="24"/>
        </w:rPr>
        <w:t>签订地点：XXXX。</w:t>
      </w:r>
    </w:p>
    <w:p>
      <w:pPr>
        <w:snapToGrid w:val="0"/>
        <w:spacing w:line="360" w:lineRule="auto"/>
        <w:ind w:left="324" w:hanging="324" w:hangingChars="135"/>
        <w:rPr>
          <w:rFonts w:hAnsi="宋体" w:cs="宋体"/>
          <w:sz w:val="24"/>
          <w:szCs w:val="24"/>
        </w:rPr>
      </w:pPr>
      <w:r>
        <w:rPr>
          <w:rFonts w:hint="eastAsia" w:hAnsi="宋体" w:cs="宋体"/>
          <w:sz w:val="24"/>
          <w:szCs w:val="24"/>
        </w:rPr>
        <w:t>签订时间：XXXX年XX月XX日。</w:t>
      </w:r>
    </w:p>
    <w:p>
      <w:pPr>
        <w:snapToGrid w:val="0"/>
        <w:spacing w:line="360" w:lineRule="auto"/>
        <w:ind w:left="324" w:hanging="324" w:hangingChars="135"/>
        <w:rPr>
          <w:rFonts w:hAnsi="宋体" w:cs="宋体"/>
          <w:sz w:val="24"/>
          <w:szCs w:val="24"/>
        </w:rPr>
      </w:pPr>
      <w:r>
        <w:rPr>
          <w:rFonts w:hint="eastAsia" w:hAnsi="宋体" w:cs="宋体"/>
          <w:sz w:val="24"/>
          <w:szCs w:val="24"/>
        </w:rPr>
        <w:t>采购人（甲方）：</w:t>
      </w:r>
    </w:p>
    <w:p>
      <w:pPr>
        <w:snapToGrid w:val="0"/>
        <w:spacing w:line="360" w:lineRule="auto"/>
        <w:ind w:left="324" w:hanging="324" w:hangingChars="135"/>
        <w:rPr>
          <w:rFonts w:hAnsi="宋体" w:cs="宋体"/>
          <w:sz w:val="24"/>
          <w:szCs w:val="24"/>
        </w:rPr>
      </w:pPr>
      <w:r>
        <w:rPr>
          <w:rFonts w:hint="eastAsia" w:hAnsi="宋体" w:cs="宋体"/>
          <w:sz w:val="24"/>
          <w:szCs w:val="24"/>
        </w:rPr>
        <w:t>供应商（乙方）：</w:t>
      </w:r>
    </w:p>
    <w:p>
      <w:pPr>
        <w:snapToGrid w:val="0"/>
        <w:spacing w:line="360" w:lineRule="auto"/>
        <w:rPr>
          <w:rFonts w:hAnsi="宋体" w:cs="宋体"/>
          <w:sz w:val="24"/>
          <w:szCs w:val="24"/>
        </w:rPr>
      </w:pPr>
    </w:p>
    <w:p>
      <w:pPr>
        <w:pStyle w:val="67"/>
        <w:snapToGrid w:val="0"/>
        <w:spacing w:line="360" w:lineRule="auto"/>
        <w:ind w:firstLine="480"/>
        <w:rPr>
          <w:rFonts w:hAnsi="宋体"/>
          <w:szCs w:val="24"/>
        </w:rPr>
      </w:pPr>
      <w:r>
        <w:rPr>
          <w:rFonts w:hint="eastAsia" w:hAnsi="宋体"/>
          <w:szCs w:val="24"/>
        </w:rPr>
        <w:t>根据《中华人民共和国合同法》及XX采购人采购项目（项目编号：XX）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pPr>
        <w:pStyle w:val="3"/>
        <w:snapToGrid w:val="0"/>
        <w:spacing w:before="0" w:after="0" w:line="360" w:lineRule="auto"/>
        <w:ind w:firstLine="482" w:firstLineChars="200"/>
        <w:rPr>
          <w:rFonts w:ascii="宋体" w:hAnsi="宋体" w:eastAsia="宋体" w:cs="宋体"/>
          <w:sz w:val="24"/>
          <w:szCs w:val="24"/>
        </w:rPr>
      </w:pPr>
      <w:bookmarkStart w:id="97" w:name="_Toc217446107"/>
      <w:r>
        <w:rPr>
          <w:rFonts w:hint="eastAsia" w:ascii="宋体" w:hAnsi="宋体" w:eastAsia="宋体" w:cs="宋体"/>
          <w:sz w:val="24"/>
          <w:szCs w:val="24"/>
        </w:rPr>
        <w:t>一、合同货物</w:t>
      </w:r>
      <w:bookmarkEnd w:id="97"/>
    </w:p>
    <w:tbl>
      <w:tblPr>
        <w:tblStyle w:val="19"/>
        <w:tblW w:w="0" w:type="auto"/>
        <w:tblInd w:w="-1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158"/>
        <w:gridCol w:w="794"/>
        <w:gridCol w:w="993"/>
        <w:gridCol w:w="1192"/>
        <w:gridCol w:w="1307"/>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hAnsi="宋体" w:cs="宋体"/>
                <w:sz w:val="24"/>
                <w:szCs w:val="24"/>
              </w:rPr>
            </w:pPr>
            <w:r>
              <w:rPr>
                <w:rFonts w:hint="eastAsia" w:hAnsi="宋体" w:cs="宋体"/>
                <w:sz w:val="24"/>
                <w:szCs w:val="24"/>
              </w:rPr>
              <w:t>货物品名</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规格</w:t>
            </w:r>
          </w:p>
          <w:p>
            <w:pPr>
              <w:snapToGrid w:val="0"/>
              <w:spacing w:line="360" w:lineRule="auto"/>
              <w:jc w:val="center"/>
              <w:rPr>
                <w:rFonts w:hAnsi="宋体" w:cs="宋体"/>
                <w:sz w:val="24"/>
                <w:szCs w:val="24"/>
              </w:rPr>
            </w:pPr>
            <w:r>
              <w:rPr>
                <w:rFonts w:hint="eastAsia" w:hAnsi="宋体" w:cs="宋体"/>
                <w:sz w:val="24"/>
                <w:szCs w:val="24"/>
              </w:rPr>
              <w:t>型号</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rPr>
                <w:rFonts w:hAnsi="宋体" w:cs="宋体"/>
                <w:sz w:val="24"/>
                <w:szCs w:val="24"/>
              </w:rPr>
            </w:pPr>
            <w:r>
              <w:rPr>
                <w:rFonts w:hint="eastAsia" w:hAnsi="宋体" w:cs="宋体"/>
                <w:sz w:val="24"/>
                <w:szCs w:val="24"/>
              </w:rPr>
              <w:t>数量</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单价</w:t>
            </w:r>
          </w:p>
          <w:p>
            <w:pPr>
              <w:snapToGrid w:val="0"/>
              <w:spacing w:line="360" w:lineRule="auto"/>
              <w:jc w:val="center"/>
              <w:rPr>
                <w:rFonts w:hAnsi="宋体" w:cs="宋体"/>
                <w:sz w:val="24"/>
                <w:szCs w:val="24"/>
              </w:rPr>
            </w:pPr>
            <w:r>
              <w:rPr>
                <w:rFonts w:hint="eastAsia" w:hAnsi="宋体" w:cs="宋体"/>
                <w:sz w:val="24"/>
                <w:szCs w:val="24"/>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Ansi="宋体" w:cs="宋体"/>
                <w:sz w:val="24"/>
                <w:szCs w:val="24"/>
              </w:rPr>
            </w:pPr>
            <w:r>
              <w:rPr>
                <w:rFonts w:hint="eastAsia" w:hAnsi="宋体" w:cs="宋体"/>
                <w:sz w:val="24"/>
                <w:szCs w:val="24"/>
              </w:rPr>
              <w:t>总价</w:t>
            </w:r>
          </w:p>
          <w:p>
            <w:pPr>
              <w:snapToGrid w:val="0"/>
              <w:spacing w:line="360" w:lineRule="auto"/>
              <w:rPr>
                <w:rFonts w:hAnsi="宋体" w:cs="宋体"/>
                <w:sz w:val="24"/>
                <w:szCs w:val="24"/>
              </w:rPr>
            </w:pPr>
            <w:r>
              <w:rPr>
                <w:rFonts w:hint="eastAsia" w:hAnsi="宋体" w:cs="宋体"/>
                <w:sz w:val="24"/>
                <w:szCs w:val="24"/>
              </w:rPr>
              <w:t>（万元）</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随机</w:t>
            </w:r>
          </w:p>
          <w:p>
            <w:pPr>
              <w:snapToGrid w:val="0"/>
              <w:spacing w:line="360" w:lineRule="auto"/>
              <w:jc w:val="center"/>
              <w:rPr>
                <w:rFonts w:hAnsi="宋体" w:cs="宋体"/>
                <w:sz w:val="24"/>
                <w:szCs w:val="24"/>
              </w:rPr>
            </w:pPr>
            <w:r>
              <w:rPr>
                <w:rFonts w:hint="eastAsia" w:hAnsi="宋体" w:cs="宋体"/>
                <w:sz w:val="24"/>
                <w:szCs w:val="24"/>
              </w:rPr>
              <w:t>配件</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bl>
    <w:p>
      <w:pPr>
        <w:pStyle w:val="3"/>
        <w:tabs>
          <w:tab w:val="left" w:pos="142"/>
        </w:tabs>
        <w:snapToGrid w:val="0"/>
        <w:spacing w:before="0" w:after="0" w:line="360" w:lineRule="auto"/>
        <w:ind w:firstLine="161" w:firstLineChars="67"/>
        <w:rPr>
          <w:rFonts w:ascii="宋体" w:hAnsi="宋体" w:eastAsia="宋体" w:cs="宋体"/>
          <w:sz w:val="24"/>
          <w:szCs w:val="24"/>
        </w:rPr>
      </w:pPr>
      <w:bookmarkStart w:id="98" w:name="_Toc217446108"/>
      <w:r>
        <w:rPr>
          <w:rFonts w:hint="eastAsia" w:ascii="宋体" w:hAnsi="宋体" w:eastAsia="宋体" w:cs="宋体"/>
          <w:sz w:val="24"/>
          <w:szCs w:val="24"/>
        </w:rPr>
        <w:t>二、合同总价</w:t>
      </w:r>
      <w:bookmarkEnd w:id="98"/>
    </w:p>
    <w:p>
      <w:pPr>
        <w:pStyle w:val="5"/>
        <w:snapToGrid w:val="0"/>
        <w:spacing w:line="360" w:lineRule="auto"/>
        <w:ind w:firstLine="484" w:firstLineChars="202"/>
        <w:rPr>
          <w:rFonts w:hAnsi="宋体" w:cs="宋体"/>
          <w:sz w:val="24"/>
        </w:rPr>
      </w:pPr>
      <w:r>
        <w:rPr>
          <w:rFonts w:hint="eastAsia" w:hAnsi="宋体" w:cs="宋体"/>
          <w:sz w:val="24"/>
        </w:rPr>
        <w:t>合同总价为人民币大写：元，即RMB￥元；该合同总价已包括产品设计、人工、制造、安装、调试、检测、验收合格交付使用之前及保修期内保修服务与备用物件等等所有其他有关各项的含税费用。本合同执行期间合同总价不变，甲方无须另向乙方支付本合同规定之外的其他任何费用。</w:t>
      </w:r>
    </w:p>
    <w:p>
      <w:pPr>
        <w:pStyle w:val="3"/>
        <w:tabs>
          <w:tab w:val="left" w:pos="142"/>
        </w:tabs>
        <w:snapToGrid w:val="0"/>
        <w:spacing w:before="0" w:after="0" w:line="360" w:lineRule="auto"/>
        <w:ind w:firstLine="161" w:firstLineChars="67"/>
        <w:rPr>
          <w:rFonts w:ascii="宋体" w:hAnsi="宋体" w:eastAsia="宋体" w:cs="宋体"/>
          <w:sz w:val="24"/>
          <w:szCs w:val="24"/>
        </w:rPr>
      </w:pPr>
      <w:bookmarkStart w:id="99" w:name="_Toc217446109"/>
      <w:r>
        <w:rPr>
          <w:rFonts w:hint="eastAsia" w:ascii="宋体" w:hAnsi="宋体" w:eastAsia="宋体" w:cs="宋体"/>
          <w:sz w:val="24"/>
          <w:szCs w:val="24"/>
        </w:rPr>
        <w:t>三、质量要求</w:t>
      </w:r>
      <w:bookmarkEnd w:id="99"/>
    </w:p>
    <w:p>
      <w:pPr>
        <w:pStyle w:val="67"/>
        <w:snapToGrid w:val="0"/>
        <w:spacing w:line="360" w:lineRule="auto"/>
        <w:ind w:firstLine="480"/>
        <w:rPr>
          <w:rFonts w:hAnsi="宋体"/>
          <w:szCs w:val="24"/>
        </w:rPr>
      </w:pPr>
      <w:r>
        <w:rPr>
          <w:rFonts w:hint="eastAsia" w:hAnsi="宋体"/>
          <w:szCs w:val="24"/>
        </w:rPr>
        <w:t>1、乙方须提供全新的产品，不得侵害他人的知识产权。</w:t>
      </w:r>
    </w:p>
    <w:p>
      <w:pPr>
        <w:pStyle w:val="67"/>
        <w:snapToGrid w:val="0"/>
        <w:spacing w:line="360" w:lineRule="auto"/>
        <w:ind w:firstLine="480"/>
        <w:rPr>
          <w:rFonts w:hAnsi="宋体"/>
          <w:szCs w:val="24"/>
        </w:rPr>
      </w:pPr>
      <w:r>
        <w:rPr>
          <w:rFonts w:hint="eastAsia" w:hAnsi="宋体"/>
          <w:szCs w:val="24"/>
        </w:rPr>
        <w:t>2、货物必须符合或优于国家（行业）标准，以及本项目招标文件的质量要求和技术指标与出厂标准。</w:t>
      </w:r>
    </w:p>
    <w:p>
      <w:pPr>
        <w:pStyle w:val="67"/>
        <w:snapToGrid w:val="0"/>
        <w:spacing w:line="360" w:lineRule="auto"/>
        <w:ind w:firstLine="480"/>
        <w:rPr>
          <w:rFonts w:hAnsi="宋体"/>
          <w:szCs w:val="24"/>
        </w:rPr>
      </w:pPr>
      <w:r>
        <w:rPr>
          <w:rFonts w:hint="eastAsia" w:hAnsi="宋体"/>
          <w:szCs w:val="24"/>
        </w:rPr>
        <w:t>3、乙方须在本合同签订之日起日内送交产品成品给甲方确认。</w:t>
      </w:r>
    </w:p>
    <w:p>
      <w:pPr>
        <w:pStyle w:val="67"/>
        <w:snapToGrid w:val="0"/>
        <w:spacing w:line="360" w:lineRule="auto"/>
        <w:ind w:firstLine="480"/>
        <w:rPr>
          <w:rFonts w:hAnsi="宋体"/>
          <w:szCs w:val="24"/>
        </w:rPr>
      </w:pPr>
      <w:r>
        <w:rPr>
          <w:rFonts w:hint="eastAsia" w:hAnsi="宋体"/>
          <w:szCs w:val="24"/>
        </w:rPr>
        <w:t>4、产品制造质量出现问题，乙方应负责三包（包修、包换、包退），费用由乙方负担，甲方有权到乙方生产场地检查产品质量和生产进度。</w:t>
      </w:r>
    </w:p>
    <w:p>
      <w:pPr>
        <w:pStyle w:val="67"/>
        <w:snapToGrid w:val="0"/>
        <w:spacing w:line="360" w:lineRule="auto"/>
        <w:ind w:firstLine="480"/>
        <w:rPr>
          <w:rFonts w:hAnsi="宋体"/>
          <w:szCs w:val="24"/>
        </w:rPr>
      </w:pPr>
      <w:r>
        <w:rPr>
          <w:rFonts w:hint="eastAsia" w:hAnsi="宋体"/>
          <w:szCs w:val="24"/>
        </w:rPr>
        <w:t>5、产品验收后由于甲方使用不当造成的问题，乙方亦应负责修理，但费用由甲方负担。</w:t>
      </w:r>
    </w:p>
    <w:p>
      <w:pPr>
        <w:pStyle w:val="67"/>
        <w:snapToGrid w:val="0"/>
        <w:spacing w:line="360" w:lineRule="auto"/>
        <w:ind w:firstLine="0" w:firstLineChars="0"/>
        <w:rPr>
          <w:rFonts w:hAnsi="宋体"/>
          <w:szCs w:val="24"/>
        </w:rPr>
      </w:pPr>
      <w:r>
        <w:rPr>
          <w:rFonts w:hint="eastAsia" w:hAnsi="宋体"/>
          <w:b/>
          <w:bCs/>
          <w:szCs w:val="24"/>
        </w:rPr>
        <w:t>四、</w:t>
      </w:r>
      <w:bookmarkStart w:id="100" w:name="_Toc217446110"/>
      <w:r>
        <w:rPr>
          <w:rFonts w:hint="eastAsia" w:hAnsi="宋体"/>
          <w:b/>
          <w:bCs/>
          <w:szCs w:val="24"/>
        </w:rPr>
        <w:t>交货及验收</w:t>
      </w:r>
      <w:bookmarkEnd w:id="100"/>
    </w:p>
    <w:p>
      <w:pPr>
        <w:pStyle w:val="67"/>
        <w:snapToGrid w:val="0"/>
        <w:spacing w:line="360" w:lineRule="auto"/>
        <w:ind w:firstLine="480"/>
        <w:rPr>
          <w:rFonts w:hAnsi="宋体"/>
          <w:szCs w:val="24"/>
        </w:rPr>
      </w:pPr>
      <w:r>
        <w:rPr>
          <w:rFonts w:hint="eastAsia" w:hAnsi="宋体"/>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67"/>
        <w:snapToGrid w:val="0"/>
        <w:spacing w:line="360" w:lineRule="auto"/>
        <w:ind w:firstLine="480"/>
        <w:rPr>
          <w:rFonts w:hAnsi="宋体"/>
          <w:szCs w:val="24"/>
        </w:rPr>
      </w:pPr>
      <w:r>
        <w:rPr>
          <w:rFonts w:hint="eastAsia" w:hAnsi="宋体"/>
          <w:szCs w:val="24"/>
        </w:rPr>
        <w:t>2、验收由甲方组织，乙方配合进行：</w:t>
      </w:r>
    </w:p>
    <w:p>
      <w:pPr>
        <w:pStyle w:val="67"/>
        <w:snapToGrid w:val="0"/>
        <w:spacing w:line="360" w:lineRule="auto"/>
        <w:ind w:firstLine="480"/>
        <w:rPr>
          <w:rFonts w:hAnsi="宋体"/>
          <w:szCs w:val="24"/>
        </w:rPr>
      </w:pPr>
      <w:r>
        <w:rPr>
          <w:rFonts w:hint="eastAsia" w:hAnsi="宋体"/>
          <w:szCs w:val="24"/>
        </w:rPr>
        <w:t>(1) 产品在乙方通知安装调试完毕后日内初步验收。初步验收合格后，进入试用期；试用期间发生重大质量问题，修复后试用相应顺延；试用期结束后日内完成最终验收；</w:t>
      </w:r>
    </w:p>
    <w:p>
      <w:pPr>
        <w:pStyle w:val="67"/>
        <w:snapToGrid w:val="0"/>
        <w:spacing w:line="360" w:lineRule="auto"/>
        <w:ind w:firstLine="480"/>
        <w:rPr>
          <w:rFonts w:hAnsi="宋体"/>
          <w:szCs w:val="24"/>
        </w:rPr>
      </w:pPr>
      <w:r>
        <w:rPr>
          <w:rFonts w:hint="eastAsia" w:hAnsi="宋体"/>
          <w:szCs w:val="24"/>
        </w:rPr>
        <w:t>(2) 验收标准：按国家有关规定以及甲方招标文件的质量要求和技术指标（参见第四章“招标项目技术、商务及其他要求”）进行验收；</w:t>
      </w:r>
    </w:p>
    <w:p>
      <w:pPr>
        <w:pStyle w:val="67"/>
        <w:snapToGrid w:val="0"/>
        <w:spacing w:line="360" w:lineRule="auto"/>
        <w:ind w:firstLine="480"/>
        <w:rPr>
          <w:rFonts w:hAnsi="宋体"/>
          <w:szCs w:val="24"/>
        </w:rPr>
      </w:pPr>
      <w:r>
        <w:rPr>
          <w:rFonts w:hint="eastAsia" w:hAnsi="宋体"/>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p>
    <w:p>
      <w:pPr>
        <w:pStyle w:val="67"/>
        <w:snapToGrid w:val="0"/>
        <w:spacing w:line="360" w:lineRule="auto"/>
        <w:ind w:firstLine="439" w:firstLineChars="183"/>
        <w:rPr>
          <w:rFonts w:hAnsi="宋体"/>
          <w:szCs w:val="24"/>
        </w:rPr>
      </w:pPr>
      <w:r>
        <w:rPr>
          <w:rFonts w:hint="eastAsia" w:hAnsi="宋体"/>
          <w:szCs w:val="24"/>
        </w:rPr>
        <w:t>（4）如质量验收合格，双方签署质量验收报告。</w:t>
      </w:r>
    </w:p>
    <w:p>
      <w:pPr>
        <w:pStyle w:val="67"/>
        <w:snapToGrid w:val="0"/>
        <w:spacing w:line="360" w:lineRule="auto"/>
        <w:ind w:firstLine="480"/>
        <w:rPr>
          <w:rFonts w:hAnsi="宋体"/>
          <w:szCs w:val="24"/>
        </w:rPr>
      </w:pPr>
      <w:r>
        <w:rPr>
          <w:rFonts w:hint="eastAsia" w:hAnsi="宋体"/>
          <w:szCs w:val="24"/>
        </w:rPr>
        <w:t>3、产品安装完成后日内，甲方无故不进行验收工作并已使用货物的，视同已安装调试完成并验收合格。</w:t>
      </w:r>
    </w:p>
    <w:p>
      <w:pPr>
        <w:pStyle w:val="67"/>
        <w:snapToGrid w:val="0"/>
        <w:spacing w:line="360" w:lineRule="auto"/>
        <w:ind w:firstLine="480"/>
        <w:rPr>
          <w:rFonts w:hAnsi="宋体"/>
          <w:szCs w:val="24"/>
        </w:rPr>
      </w:pPr>
      <w:r>
        <w:rPr>
          <w:rFonts w:hint="eastAsia" w:hAnsi="宋体"/>
          <w:szCs w:val="24"/>
        </w:rPr>
        <w:t>4、乙方应将所提供产品的清单、配件、随机工具、用户使用手册、原厂保修卡等资料交付给甲方；乙方不能完整交付货物及本款规定的单证和工具的，必须负责补齐，否则视为未按合同约定交货。</w:t>
      </w:r>
    </w:p>
    <w:p>
      <w:pPr>
        <w:pStyle w:val="67"/>
        <w:snapToGrid w:val="0"/>
        <w:spacing w:line="360" w:lineRule="auto"/>
        <w:ind w:firstLine="480"/>
        <w:rPr>
          <w:rFonts w:hAnsi="宋体"/>
          <w:szCs w:val="24"/>
        </w:rPr>
      </w:pPr>
      <w:r>
        <w:rPr>
          <w:rFonts w:hint="eastAsia" w:hAnsi="宋体"/>
          <w:szCs w:val="24"/>
        </w:rPr>
        <w:t>5、如货物经乙方次维修仍不能达到合同约定的质量标准，甲方有权退货，并视作乙方不能交付货物而须支付违约赔偿金给甲方，甲方还可依法追究乙方的违约责任。 </w:t>
      </w:r>
    </w:p>
    <w:p>
      <w:pPr>
        <w:pStyle w:val="3"/>
        <w:snapToGrid w:val="0"/>
        <w:spacing w:before="0" w:after="0" w:line="360" w:lineRule="auto"/>
        <w:ind w:firstLine="161" w:firstLineChars="67"/>
        <w:rPr>
          <w:rFonts w:ascii="宋体" w:hAnsi="宋体" w:eastAsia="宋体" w:cs="宋体"/>
          <w:sz w:val="24"/>
          <w:szCs w:val="24"/>
        </w:rPr>
      </w:pPr>
      <w:bookmarkStart w:id="101" w:name="_Toc217446111"/>
      <w:r>
        <w:rPr>
          <w:rFonts w:hint="eastAsia" w:ascii="宋体" w:hAnsi="宋体" w:eastAsia="宋体" w:cs="宋体"/>
          <w:sz w:val="24"/>
          <w:szCs w:val="24"/>
        </w:rPr>
        <w:t>五、付款方式</w:t>
      </w:r>
      <w:bookmarkEnd w:id="101"/>
    </w:p>
    <w:p>
      <w:pPr>
        <w:pStyle w:val="67"/>
        <w:snapToGrid w:val="0"/>
        <w:spacing w:line="360" w:lineRule="auto"/>
        <w:ind w:firstLine="480"/>
        <w:jc w:val="left"/>
        <w:rPr>
          <w:rFonts w:hAnsi="宋体"/>
          <w:szCs w:val="24"/>
        </w:rPr>
      </w:pPr>
      <w:r>
        <w:rPr>
          <w:rFonts w:hint="eastAsia" w:hAnsi="宋体"/>
          <w:szCs w:val="24"/>
        </w:rPr>
        <w:t>1、甲方在本合同签订生效之日起，接到乙方通知和票据凭证资料后的日内支付合同金额百分之的价款；</w:t>
      </w:r>
    </w:p>
    <w:p>
      <w:pPr>
        <w:pStyle w:val="67"/>
        <w:snapToGrid w:val="0"/>
        <w:spacing w:line="360" w:lineRule="auto"/>
        <w:ind w:firstLine="480"/>
        <w:rPr>
          <w:rFonts w:hAnsi="宋体"/>
          <w:szCs w:val="24"/>
        </w:rPr>
      </w:pPr>
      <w:r>
        <w:rPr>
          <w:rFonts w:hint="eastAsia" w:hAnsi="宋体"/>
          <w:szCs w:val="24"/>
        </w:rPr>
        <w:t>2、全部货物安装调试完毕并验收合格之日起，甲方接到乙方通知与票据凭证资料后的日内，向乙方核拨合同总价的百分之款项：￥元，人民币大写元整；</w:t>
      </w:r>
    </w:p>
    <w:p>
      <w:pPr>
        <w:pStyle w:val="67"/>
        <w:snapToGrid w:val="0"/>
        <w:spacing w:line="360" w:lineRule="auto"/>
        <w:ind w:firstLine="480"/>
        <w:jc w:val="left"/>
        <w:rPr>
          <w:rFonts w:hAnsi="宋体"/>
          <w:szCs w:val="24"/>
        </w:rPr>
      </w:pPr>
      <w:r>
        <w:rPr>
          <w:rFonts w:hint="eastAsia" w:hAnsi="宋体"/>
          <w:szCs w:val="24"/>
        </w:rPr>
        <w:t>3、乙方须向甲方出具合法有效完整的完税发票及凭证资料进行支付结算。</w:t>
      </w:r>
    </w:p>
    <w:p>
      <w:pPr>
        <w:pStyle w:val="3"/>
        <w:snapToGrid w:val="0"/>
        <w:spacing w:before="0" w:after="0" w:line="360" w:lineRule="auto"/>
        <w:ind w:firstLine="161" w:firstLineChars="67"/>
        <w:rPr>
          <w:rFonts w:ascii="宋体" w:hAnsi="宋体" w:eastAsia="宋体" w:cs="宋体"/>
          <w:sz w:val="24"/>
          <w:szCs w:val="24"/>
        </w:rPr>
      </w:pPr>
      <w:bookmarkStart w:id="102" w:name="_Toc217446112"/>
      <w:r>
        <w:rPr>
          <w:rFonts w:hint="eastAsia" w:ascii="宋体" w:hAnsi="宋体" w:eastAsia="宋体" w:cs="宋体"/>
          <w:sz w:val="24"/>
          <w:szCs w:val="24"/>
        </w:rPr>
        <w:t>六、售后服务</w:t>
      </w:r>
      <w:bookmarkEnd w:id="102"/>
    </w:p>
    <w:p>
      <w:pPr>
        <w:pStyle w:val="67"/>
        <w:snapToGrid w:val="0"/>
        <w:spacing w:line="360" w:lineRule="auto"/>
        <w:ind w:firstLine="480"/>
        <w:rPr>
          <w:rFonts w:hAnsi="宋体"/>
          <w:szCs w:val="24"/>
        </w:rPr>
      </w:pPr>
      <w:r>
        <w:rPr>
          <w:rFonts w:hint="eastAsia" w:hAnsi="宋体"/>
          <w:szCs w:val="24"/>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67"/>
        <w:snapToGrid w:val="0"/>
        <w:spacing w:line="360" w:lineRule="auto"/>
        <w:ind w:firstLine="480"/>
        <w:rPr>
          <w:rFonts w:hint="eastAsia" w:hAnsi="宋体"/>
          <w:szCs w:val="24"/>
        </w:rPr>
      </w:pPr>
      <w:r>
        <w:rPr>
          <w:rFonts w:hint="eastAsia" w:hAnsi="宋体"/>
          <w:szCs w:val="24"/>
        </w:rPr>
        <w:t>2、乙方须指派专人负责与甲方联系人员培训、维护维修等售后服务事宜。</w:t>
      </w:r>
    </w:p>
    <w:p>
      <w:pPr>
        <w:pStyle w:val="67"/>
        <w:snapToGrid w:val="0"/>
        <w:spacing w:line="360" w:lineRule="auto"/>
        <w:ind w:firstLine="480"/>
        <w:rPr>
          <w:rFonts w:hint="eastAsia" w:hAnsi="宋体" w:eastAsia="宋体"/>
          <w:szCs w:val="24"/>
          <w:lang w:val="en-US" w:eastAsia="zh-CN"/>
        </w:rPr>
      </w:pPr>
      <w:r>
        <w:rPr>
          <w:rFonts w:hint="eastAsia" w:hAnsi="宋体"/>
          <w:szCs w:val="24"/>
          <w:lang w:val="en-US" w:eastAsia="zh-CN"/>
        </w:rPr>
        <w:t>3、</w:t>
      </w:r>
      <w:r>
        <w:rPr>
          <w:rFonts w:hint="eastAsia" w:hAnsi="宋体"/>
          <w:szCs w:val="24"/>
        </w:rPr>
        <w:t>乙方</w:t>
      </w:r>
      <w:r>
        <w:rPr>
          <w:rFonts w:hint="eastAsia" w:hAnsi="宋体"/>
          <w:szCs w:val="24"/>
          <w:lang w:eastAsia="zh-CN"/>
        </w:rPr>
        <w:t>需向</w:t>
      </w:r>
      <w:r>
        <w:rPr>
          <w:rFonts w:hint="eastAsia" w:hAnsi="宋体"/>
          <w:szCs w:val="24"/>
        </w:rPr>
        <w:t>甲方</w:t>
      </w:r>
      <w:r>
        <w:rPr>
          <w:rFonts w:hint="eastAsia" w:hAnsi="宋体"/>
          <w:szCs w:val="24"/>
          <w:lang w:eastAsia="zh-CN"/>
        </w:rPr>
        <w:t>提供备份工具及介质，提供技术服务包及产品说明，提供至少三年质保，三年免费后续服务，包含提供及时的服务请求响应、专业资源库升级，教学资源的局部调整，保修期内免费指导涉及到系统平台的软、硬件及计算机网络技术，终身免费技术支持等。</w:t>
      </w:r>
      <w:bookmarkStart w:id="106" w:name="_GoBack"/>
      <w:bookmarkEnd w:id="106"/>
    </w:p>
    <w:p>
      <w:pPr>
        <w:pStyle w:val="3"/>
        <w:snapToGrid w:val="0"/>
        <w:spacing w:before="0" w:after="0" w:line="360" w:lineRule="auto"/>
        <w:ind w:firstLine="161" w:firstLineChars="67"/>
        <w:rPr>
          <w:rFonts w:ascii="宋体" w:hAnsi="宋体" w:eastAsia="宋体" w:cs="宋体"/>
          <w:sz w:val="24"/>
          <w:szCs w:val="24"/>
        </w:rPr>
      </w:pPr>
      <w:bookmarkStart w:id="103" w:name="_Toc217446113"/>
      <w:r>
        <w:rPr>
          <w:rFonts w:hint="eastAsia" w:ascii="宋体" w:hAnsi="宋体" w:eastAsia="宋体" w:cs="宋体"/>
          <w:sz w:val="24"/>
          <w:szCs w:val="24"/>
        </w:rPr>
        <w:t>七、违约责任</w:t>
      </w:r>
      <w:bookmarkEnd w:id="103"/>
    </w:p>
    <w:p>
      <w:pPr>
        <w:pStyle w:val="67"/>
        <w:snapToGrid w:val="0"/>
        <w:spacing w:line="360" w:lineRule="auto"/>
        <w:ind w:firstLine="480"/>
        <w:rPr>
          <w:rFonts w:hAnsi="宋体"/>
          <w:szCs w:val="24"/>
        </w:rPr>
      </w:pPr>
      <w:r>
        <w:rPr>
          <w:rFonts w:hint="eastAsia" w:hAnsi="宋体"/>
          <w:szCs w:val="24"/>
        </w:rPr>
        <w:t>1、甲方违约责任</w:t>
      </w:r>
    </w:p>
    <w:p>
      <w:pPr>
        <w:pStyle w:val="67"/>
        <w:snapToGrid w:val="0"/>
        <w:spacing w:line="360" w:lineRule="auto"/>
        <w:ind w:firstLine="480"/>
        <w:rPr>
          <w:rFonts w:hAnsi="宋体"/>
          <w:szCs w:val="24"/>
        </w:rPr>
      </w:pPr>
      <w:r>
        <w:rPr>
          <w:rFonts w:hint="eastAsia" w:hAnsi="宋体"/>
          <w:szCs w:val="24"/>
        </w:rPr>
        <w:t>（1）甲方无正当理由拒收货物的，甲方应偿付合同总价＿%的违约金；</w:t>
      </w:r>
    </w:p>
    <w:p>
      <w:pPr>
        <w:pStyle w:val="67"/>
        <w:snapToGrid w:val="0"/>
        <w:spacing w:line="360" w:lineRule="auto"/>
        <w:ind w:firstLine="480"/>
        <w:rPr>
          <w:rFonts w:hAnsi="宋体"/>
          <w:szCs w:val="24"/>
        </w:rPr>
      </w:pPr>
      <w:r>
        <w:rPr>
          <w:rFonts w:hint="eastAsia" w:hAnsi="宋体"/>
          <w:szCs w:val="24"/>
        </w:rPr>
        <w:t>（2）甲方逾期支付货款的，除应及时付足货款外，应向乙方偿付合同总价＿%/天的违约金；逾期付款超过天的，乙方有权终止合同；</w:t>
      </w:r>
    </w:p>
    <w:p>
      <w:pPr>
        <w:pStyle w:val="67"/>
        <w:snapToGrid w:val="0"/>
        <w:spacing w:line="360" w:lineRule="auto"/>
        <w:ind w:firstLine="480"/>
        <w:rPr>
          <w:rFonts w:hAnsi="宋体"/>
          <w:szCs w:val="24"/>
        </w:rPr>
      </w:pPr>
      <w:r>
        <w:rPr>
          <w:rFonts w:hint="eastAsia" w:hAnsi="宋体"/>
          <w:szCs w:val="24"/>
        </w:rPr>
        <w:t>（3）甲方偿付的违约金不足以弥补乙方损失的，还应按乙方损失尚未弥补的部分，据实赔偿给乙方。</w:t>
      </w:r>
    </w:p>
    <w:p>
      <w:pPr>
        <w:pStyle w:val="67"/>
        <w:snapToGrid w:val="0"/>
        <w:spacing w:line="360" w:lineRule="auto"/>
        <w:ind w:firstLine="480"/>
        <w:rPr>
          <w:rFonts w:hAnsi="宋体"/>
          <w:szCs w:val="24"/>
        </w:rPr>
      </w:pPr>
      <w:r>
        <w:rPr>
          <w:rFonts w:hint="eastAsia" w:hAnsi="宋体"/>
          <w:szCs w:val="24"/>
        </w:rPr>
        <w:t>2、乙方违约责任</w:t>
      </w:r>
    </w:p>
    <w:p>
      <w:pPr>
        <w:pStyle w:val="67"/>
        <w:snapToGrid w:val="0"/>
        <w:spacing w:line="360" w:lineRule="auto"/>
        <w:ind w:firstLine="480"/>
        <w:rPr>
          <w:rFonts w:hAnsi="宋体"/>
          <w:szCs w:val="24"/>
        </w:rPr>
      </w:pPr>
      <w:r>
        <w:rPr>
          <w:rFonts w:hint="eastAsia" w:hAnsi="宋体"/>
          <w:szCs w:val="24"/>
        </w:rPr>
        <w:t>（1）乙方交付的货物质量不合格的，须在合同约定的交货时间内更换合格的货物给甲方，否则，视为乙方不能交付货物，乙方应按合同总价的＿%向甲方支付违约金。</w:t>
      </w:r>
    </w:p>
    <w:p>
      <w:pPr>
        <w:pStyle w:val="67"/>
        <w:snapToGrid w:val="0"/>
        <w:spacing w:line="360" w:lineRule="auto"/>
        <w:ind w:firstLine="480"/>
        <w:rPr>
          <w:rFonts w:hAnsi="宋体"/>
          <w:szCs w:val="24"/>
        </w:rPr>
      </w:pPr>
      <w:r>
        <w:rPr>
          <w:rFonts w:hint="eastAsia" w:hAnsi="宋体"/>
          <w:szCs w:val="24"/>
        </w:rPr>
        <w:t>（2）乙方逾期交付货物的，除应及时交足货物外，应向甲方偿付合同总价的</w:t>
      </w:r>
      <w:r>
        <w:rPr>
          <w:rFonts w:hint="eastAsia" w:hAnsi="宋体"/>
          <w:szCs w:val="24"/>
          <w:u w:val="single"/>
        </w:rPr>
        <w:t xml:space="preserve">   %</w:t>
      </w:r>
      <w:r>
        <w:rPr>
          <w:rFonts w:hint="eastAsia" w:hAnsi="宋体"/>
          <w:szCs w:val="24"/>
        </w:rPr>
        <w:t>/天的违约金；逾期交货超过＿天，甲方有权终止合同，乙方则应按合同总价的</w:t>
      </w:r>
      <w:r>
        <w:rPr>
          <w:rFonts w:hAnsi="宋体"/>
          <w:szCs w:val="24"/>
          <w:u w:val="single"/>
        </w:rPr>
        <w:t xml:space="preserve">  %</w:t>
      </w:r>
      <w:r>
        <w:rPr>
          <w:rFonts w:hint="eastAsia" w:hAnsi="宋体"/>
          <w:szCs w:val="24"/>
        </w:rPr>
        <w:t>向甲方偿付违约金，并全额退还甲方已付货款及利息。</w:t>
      </w:r>
    </w:p>
    <w:p>
      <w:pPr>
        <w:pStyle w:val="67"/>
        <w:snapToGrid w:val="0"/>
        <w:spacing w:line="360" w:lineRule="auto"/>
        <w:ind w:firstLine="480"/>
        <w:rPr>
          <w:rFonts w:hAnsi="宋体"/>
          <w:szCs w:val="24"/>
        </w:rPr>
      </w:pPr>
      <w:r>
        <w:rPr>
          <w:rFonts w:hint="eastAsia" w:hAnsi="宋体"/>
          <w:szCs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szCs w:val="24"/>
          <w:u w:val="single"/>
        </w:rPr>
        <w:t xml:space="preserve">  %向甲方偿付违约金</w:t>
      </w:r>
      <w:r>
        <w:rPr>
          <w:rFonts w:hint="eastAsia" w:hAnsi="宋体"/>
          <w:szCs w:val="24"/>
        </w:rPr>
        <w:t>。</w:t>
      </w:r>
    </w:p>
    <w:p>
      <w:pPr>
        <w:pStyle w:val="67"/>
        <w:snapToGrid w:val="0"/>
        <w:spacing w:line="360" w:lineRule="auto"/>
        <w:ind w:firstLine="480"/>
        <w:rPr>
          <w:rFonts w:hAnsi="宋体"/>
          <w:szCs w:val="24"/>
        </w:rPr>
      </w:pPr>
      <w:r>
        <w:rPr>
          <w:rFonts w:hint="eastAsia" w:hAnsi="宋体"/>
          <w:szCs w:val="24"/>
        </w:rPr>
        <w:t>（4）乙方偿付的违约金不足以弥补甲方损失的，还应按甲方损失尚未弥补的部分，据实赔偿给甲方。</w:t>
      </w:r>
    </w:p>
    <w:p>
      <w:pPr>
        <w:pStyle w:val="3"/>
        <w:snapToGrid w:val="0"/>
        <w:spacing w:before="0" w:after="0" w:line="360" w:lineRule="auto"/>
        <w:ind w:firstLine="161" w:firstLineChars="67"/>
        <w:rPr>
          <w:rFonts w:ascii="宋体" w:hAnsi="宋体" w:eastAsia="宋体" w:cs="宋体"/>
          <w:sz w:val="24"/>
          <w:szCs w:val="24"/>
        </w:rPr>
      </w:pPr>
      <w:bookmarkStart w:id="104" w:name="_Toc217446114"/>
      <w:r>
        <w:rPr>
          <w:rFonts w:hint="eastAsia" w:ascii="宋体" w:hAnsi="宋体" w:eastAsia="宋体" w:cs="宋体"/>
          <w:sz w:val="24"/>
          <w:szCs w:val="24"/>
        </w:rPr>
        <w:t>八、争议解决办法</w:t>
      </w:r>
      <w:bookmarkEnd w:id="104"/>
    </w:p>
    <w:p>
      <w:pPr>
        <w:pStyle w:val="67"/>
        <w:snapToGrid w:val="0"/>
        <w:spacing w:line="360" w:lineRule="auto"/>
        <w:ind w:firstLine="480"/>
        <w:rPr>
          <w:rFonts w:hAnsi="宋体"/>
          <w:szCs w:val="24"/>
        </w:rPr>
      </w:pPr>
      <w:r>
        <w:rPr>
          <w:rFonts w:hint="eastAsia" w:hAnsi="宋体"/>
          <w:szCs w:val="24"/>
        </w:rPr>
        <w:t>合同履行期间,若双方发生争议，可协商或由有关部门调解解决，协商或调解不成的，任何一方均可向合同签订地法院起诉。</w:t>
      </w:r>
    </w:p>
    <w:p>
      <w:pPr>
        <w:pStyle w:val="3"/>
        <w:snapToGrid w:val="0"/>
        <w:spacing w:before="0" w:after="0" w:line="360" w:lineRule="auto"/>
        <w:ind w:firstLine="161" w:firstLineChars="67"/>
        <w:rPr>
          <w:rFonts w:ascii="宋体" w:hAnsi="宋体" w:eastAsia="宋体" w:cs="宋体"/>
          <w:sz w:val="24"/>
          <w:szCs w:val="24"/>
        </w:rPr>
      </w:pPr>
      <w:bookmarkStart w:id="105" w:name="_Toc217446115"/>
      <w:r>
        <w:rPr>
          <w:rFonts w:hint="eastAsia" w:ascii="宋体" w:hAnsi="宋体" w:eastAsia="宋体" w:cs="宋体"/>
          <w:sz w:val="24"/>
          <w:szCs w:val="24"/>
        </w:rPr>
        <w:t>九、其他</w:t>
      </w:r>
      <w:bookmarkEnd w:id="105"/>
    </w:p>
    <w:p>
      <w:pPr>
        <w:pStyle w:val="67"/>
        <w:snapToGrid w:val="0"/>
        <w:spacing w:line="360" w:lineRule="auto"/>
        <w:ind w:firstLine="480"/>
        <w:rPr>
          <w:rFonts w:hAnsi="宋体"/>
          <w:szCs w:val="24"/>
        </w:rPr>
      </w:pPr>
      <w:r>
        <w:rPr>
          <w:rFonts w:hint="eastAsia" w:hAnsi="宋体"/>
          <w:szCs w:val="24"/>
        </w:rPr>
        <w:t>1、如有未尽事宜，由双方依法订立补充合同。</w:t>
      </w:r>
    </w:p>
    <w:p>
      <w:pPr>
        <w:pStyle w:val="67"/>
        <w:snapToGrid w:val="0"/>
        <w:spacing w:line="360" w:lineRule="auto"/>
        <w:ind w:firstLine="480"/>
        <w:rPr>
          <w:rFonts w:hAnsi="宋体"/>
          <w:szCs w:val="24"/>
        </w:rPr>
      </w:pPr>
      <w:r>
        <w:rPr>
          <w:rFonts w:hint="eastAsia" w:hAnsi="宋体"/>
          <w:szCs w:val="24"/>
        </w:rPr>
        <w:t>2、本合同一式六份，自双方签章之日起生效。甲、乙方各三份。</w:t>
      </w:r>
    </w:p>
    <w:p>
      <w:pPr>
        <w:pStyle w:val="67"/>
        <w:snapToGrid w:val="0"/>
        <w:spacing w:line="360" w:lineRule="auto"/>
        <w:ind w:firstLine="480"/>
        <w:rPr>
          <w:rFonts w:hAnsi="宋体"/>
          <w:szCs w:val="24"/>
        </w:rPr>
      </w:pPr>
    </w:p>
    <w:p>
      <w:pPr>
        <w:snapToGrid w:val="0"/>
        <w:spacing w:line="360" w:lineRule="auto"/>
        <w:ind w:firstLine="480" w:firstLineChars="200"/>
        <w:rPr>
          <w:rFonts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napToGrid w:val="0"/>
        <w:spacing w:line="360" w:lineRule="auto"/>
        <w:ind w:firstLine="480" w:firstLineChars="200"/>
        <w:rPr>
          <w:rFonts w:hAnsi="宋体" w:cs="宋体"/>
          <w:sz w:val="24"/>
          <w:szCs w:val="24"/>
        </w:rPr>
      </w:pPr>
      <w:r>
        <w:rPr>
          <w:rFonts w:hint="eastAsia" w:hAnsi="宋体" w:cs="宋体"/>
          <w:sz w:val="24"/>
          <w:szCs w:val="24"/>
        </w:rPr>
        <w:t>法定代表人（授权代表）：           法定代表人（授权代表）：</w:t>
      </w:r>
    </w:p>
    <w:p>
      <w:pPr>
        <w:snapToGrid w:val="0"/>
        <w:spacing w:line="360" w:lineRule="auto"/>
        <w:ind w:firstLine="480" w:firstLineChars="200"/>
        <w:rPr>
          <w:rFonts w:hAnsi="宋体" w:cs="宋体"/>
          <w:sz w:val="24"/>
          <w:szCs w:val="24"/>
        </w:rPr>
      </w:pPr>
      <w:r>
        <w:rPr>
          <w:rFonts w:hint="eastAsia" w:hAnsi="宋体" w:cs="宋体"/>
          <w:sz w:val="24"/>
          <w:szCs w:val="24"/>
        </w:rPr>
        <w:t>地    址：                         地    址：</w:t>
      </w:r>
    </w:p>
    <w:p>
      <w:pPr>
        <w:snapToGrid w:val="0"/>
        <w:spacing w:line="360" w:lineRule="auto"/>
        <w:ind w:firstLine="480" w:firstLineChars="200"/>
        <w:rPr>
          <w:rFonts w:hAnsi="宋体" w:cs="宋体"/>
          <w:sz w:val="24"/>
          <w:szCs w:val="24"/>
        </w:rPr>
      </w:pPr>
      <w:r>
        <w:rPr>
          <w:rFonts w:hint="eastAsia" w:hAnsi="宋体" w:cs="宋体"/>
          <w:sz w:val="24"/>
          <w:szCs w:val="24"/>
        </w:rPr>
        <w:t>开户银行：                         开户银行：</w:t>
      </w:r>
    </w:p>
    <w:p>
      <w:pPr>
        <w:snapToGrid w:val="0"/>
        <w:spacing w:line="360" w:lineRule="auto"/>
        <w:ind w:firstLine="480" w:firstLineChars="200"/>
        <w:rPr>
          <w:rFonts w:hAnsi="宋体" w:cs="宋体"/>
          <w:sz w:val="24"/>
          <w:szCs w:val="24"/>
        </w:rPr>
      </w:pPr>
      <w:r>
        <w:rPr>
          <w:rFonts w:hint="eastAsia" w:hAnsi="宋体" w:cs="宋体"/>
          <w:sz w:val="24"/>
          <w:szCs w:val="24"/>
        </w:rPr>
        <w:t>账号：                             账号：</w:t>
      </w:r>
    </w:p>
    <w:p>
      <w:pPr>
        <w:snapToGrid w:val="0"/>
        <w:spacing w:line="360" w:lineRule="auto"/>
        <w:ind w:firstLine="480" w:firstLineChars="200"/>
        <w:rPr>
          <w:rFonts w:hAnsi="宋体" w:cs="宋体"/>
          <w:sz w:val="24"/>
          <w:szCs w:val="24"/>
        </w:rPr>
      </w:pPr>
      <w:r>
        <w:rPr>
          <w:rFonts w:hint="eastAsia" w:hAnsi="宋体" w:cs="宋体"/>
          <w:sz w:val="24"/>
          <w:szCs w:val="24"/>
        </w:rPr>
        <w:t>电    话：                         电    话：</w:t>
      </w:r>
    </w:p>
    <w:p>
      <w:pPr>
        <w:snapToGrid w:val="0"/>
        <w:spacing w:line="360" w:lineRule="auto"/>
        <w:ind w:firstLine="480" w:firstLineChars="200"/>
        <w:rPr>
          <w:rFonts w:hAnsi="宋体" w:cs="宋体"/>
          <w:sz w:val="24"/>
          <w:szCs w:val="24"/>
        </w:rPr>
      </w:pPr>
      <w:r>
        <w:rPr>
          <w:rFonts w:hint="eastAsia" w:hAnsi="宋体" w:cs="宋体"/>
          <w:sz w:val="24"/>
          <w:szCs w:val="24"/>
        </w:rPr>
        <w:t>传    真：                         传    真：</w:t>
      </w:r>
    </w:p>
    <w:p>
      <w:pPr>
        <w:snapToGrid w:val="0"/>
        <w:spacing w:line="360" w:lineRule="auto"/>
        <w:ind w:firstLine="480" w:firstLineChars="200"/>
        <w:rPr>
          <w:rFonts w:hAnsi="宋体" w:cs="宋体"/>
          <w:sz w:val="24"/>
          <w:szCs w:val="24"/>
        </w:rPr>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签约日期：XX年XX月XX日</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7216;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lang w:eastAsia="zh-CN"/>
      </w:rPr>
      <w:t>《高铁变电所第二次系统运行与维护》课程开发</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2B7C97E6"/>
    <w:multiLevelType w:val="singleLevel"/>
    <w:tmpl w:val="2B7C97E6"/>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E3065B"/>
    <w:rsid w:val="070D149F"/>
    <w:rsid w:val="07407323"/>
    <w:rsid w:val="0750320D"/>
    <w:rsid w:val="07574AC3"/>
    <w:rsid w:val="0758192B"/>
    <w:rsid w:val="07A36030"/>
    <w:rsid w:val="07BA06BE"/>
    <w:rsid w:val="07DF17F7"/>
    <w:rsid w:val="07FD0DA7"/>
    <w:rsid w:val="080055AF"/>
    <w:rsid w:val="080C13C2"/>
    <w:rsid w:val="08380F8C"/>
    <w:rsid w:val="084E78AD"/>
    <w:rsid w:val="085914C1"/>
    <w:rsid w:val="086552D4"/>
    <w:rsid w:val="086D0162"/>
    <w:rsid w:val="08747AEC"/>
    <w:rsid w:val="08822685"/>
    <w:rsid w:val="08870D0B"/>
    <w:rsid w:val="08BA49DD"/>
    <w:rsid w:val="08EC7733"/>
    <w:rsid w:val="092B1819"/>
    <w:rsid w:val="092E279E"/>
    <w:rsid w:val="09343398"/>
    <w:rsid w:val="093E2A38"/>
    <w:rsid w:val="0955045F"/>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B58F4"/>
    <w:rsid w:val="148876BD"/>
    <w:rsid w:val="149A4596"/>
    <w:rsid w:val="14A66C6D"/>
    <w:rsid w:val="14EC73E1"/>
    <w:rsid w:val="152A4CC8"/>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2F6C59"/>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9009C2"/>
    <w:rsid w:val="232C45F5"/>
    <w:rsid w:val="23574571"/>
    <w:rsid w:val="235C138F"/>
    <w:rsid w:val="23A52A88"/>
    <w:rsid w:val="23C478CF"/>
    <w:rsid w:val="23DB76DF"/>
    <w:rsid w:val="2431266C"/>
    <w:rsid w:val="245965D5"/>
    <w:rsid w:val="247B506A"/>
    <w:rsid w:val="24AE0D3C"/>
    <w:rsid w:val="251251DD"/>
    <w:rsid w:val="25267701"/>
    <w:rsid w:val="25392E9F"/>
    <w:rsid w:val="254060AD"/>
    <w:rsid w:val="25556F4C"/>
    <w:rsid w:val="25A14E4D"/>
    <w:rsid w:val="25BC3478"/>
    <w:rsid w:val="26066D6F"/>
    <w:rsid w:val="261C0F13"/>
    <w:rsid w:val="261E7C99"/>
    <w:rsid w:val="263465BA"/>
    <w:rsid w:val="26365340"/>
    <w:rsid w:val="26770328"/>
    <w:rsid w:val="268044BB"/>
    <w:rsid w:val="26842EC1"/>
    <w:rsid w:val="26D12FC0"/>
    <w:rsid w:val="26E25459"/>
    <w:rsid w:val="26E32EDA"/>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A0C1188"/>
    <w:rsid w:val="2A16531B"/>
    <w:rsid w:val="2A17081E"/>
    <w:rsid w:val="2A4E2EF7"/>
    <w:rsid w:val="2A75287D"/>
    <w:rsid w:val="2A7917BC"/>
    <w:rsid w:val="2A982071"/>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3D7F63"/>
    <w:rsid w:val="306B5D4B"/>
    <w:rsid w:val="30711E07"/>
    <w:rsid w:val="30792A97"/>
    <w:rsid w:val="30817EA3"/>
    <w:rsid w:val="308952B0"/>
    <w:rsid w:val="308D3CB6"/>
    <w:rsid w:val="30A30058"/>
    <w:rsid w:val="30E80B4C"/>
    <w:rsid w:val="312B28BA"/>
    <w:rsid w:val="312F34BF"/>
    <w:rsid w:val="313C4D53"/>
    <w:rsid w:val="314C0871"/>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6A4F0B"/>
    <w:rsid w:val="346E7194"/>
    <w:rsid w:val="34A15065"/>
    <w:rsid w:val="34E735DB"/>
    <w:rsid w:val="34EC41D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537E51"/>
    <w:rsid w:val="37564659"/>
    <w:rsid w:val="37712C84"/>
    <w:rsid w:val="379263CB"/>
    <w:rsid w:val="37A36CD7"/>
    <w:rsid w:val="37B0262F"/>
    <w:rsid w:val="37BE7480"/>
    <w:rsid w:val="37EA4BED"/>
    <w:rsid w:val="37F00FD4"/>
    <w:rsid w:val="38196915"/>
    <w:rsid w:val="381F62A0"/>
    <w:rsid w:val="38225026"/>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F086E"/>
    <w:rsid w:val="3A883217"/>
    <w:rsid w:val="3A941228"/>
    <w:rsid w:val="3AC6527A"/>
    <w:rsid w:val="3B063AE5"/>
    <w:rsid w:val="3B0A1D81"/>
    <w:rsid w:val="3BB1414D"/>
    <w:rsid w:val="3BBF5492"/>
    <w:rsid w:val="3BED2ADE"/>
    <w:rsid w:val="3C045F86"/>
    <w:rsid w:val="3C0A7E90"/>
    <w:rsid w:val="3C2A4B41"/>
    <w:rsid w:val="3C317D4F"/>
    <w:rsid w:val="3C3E7065"/>
    <w:rsid w:val="3C62051E"/>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7755AE"/>
    <w:rsid w:val="3F954B5E"/>
    <w:rsid w:val="3FBD249F"/>
    <w:rsid w:val="3FF461FC"/>
    <w:rsid w:val="3FF82684"/>
    <w:rsid w:val="40464981"/>
    <w:rsid w:val="40562A1D"/>
    <w:rsid w:val="406E00C4"/>
    <w:rsid w:val="40741FCD"/>
    <w:rsid w:val="40957F84"/>
    <w:rsid w:val="409C7F95"/>
    <w:rsid w:val="40B21AB2"/>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90152F9"/>
    <w:rsid w:val="49092EE1"/>
    <w:rsid w:val="4942653E"/>
    <w:rsid w:val="49512C42"/>
    <w:rsid w:val="4966327A"/>
    <w:rsid w:val="496C5184"/>
    <w:rsid w:val="497E7EEE"/>
    <w:rsid w:val="49963DC9"/>
    <w:rsid w:val="499D5953"/>
    <w:rsid w:val="49A330DF"/>
    <w:rsid w:val="49A91765"/>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7601AD"/>
    <w:rsid w:val="5F7C7B38"/>
    <w:rsid w:val="5F8E7A52"/>
    <w:rsid w:val="5FAE2505"/>
    <w:rsid w:val="5FBA1B9B"/>
    <w:rsid w:val="5FC03AA5"/>
    <w:rsid w:val="5FF850C6"/>
    <w:rsid w:val="600A2C1F"/>
    <w:rsid w:val="600F12A5"/>
    <w:rsid w:val="60106D27"/>
    <w:rsid w:val="602A1982"/>
    <w:rsid w:val="607A0954"/>
    <w:rsid w:val="60B146B2"/>
    <w:rsid w:val="60CC08DE"/>
    <w:rsid w:val="60CD61E0"/>
    <w:rsid w:val="60F715A3"/>
    <w:rsid w:val="610E11C8"/>
    <w:rsid w:val="612A5275"/>
    <w:rsid w:val="613A550F"/>
    <w:rsid w:val="61931421"/>
    <w:rsid w:val="619E0AB7"/>
    <w:rsid w:val="61A11A3C"/>
    <w:rsid w:val="61EA78B2"/>
    <w:rsid w:val="620C10EB"/>
    <w:rsid w:val="622C3B9E"/>
    <w:rsid w:val="625008DB"/>
    <w:rsid w:val="62695C01"/>
    <w:rsid w:val="626D4608"/>
    <w:rsid w:val="629E645C"/>
    <w:rsid w:val="62BA2508"/>
    <w:rsid w:val="631C34A7"/>
    <w:rsid w:val="639F3A80"/>
    <w:rsid w:val="63B32720"/>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A96EFB"/>
    <w:rsid w:val="66C52FA8"/>
    <w:rsid w:val="66CF7E12"/>
    <w:rsid w:val="66DB514B"/>
    <w:rsid w:val="66E75E27"/>
    <w:rsid w:val="67092797"/>
    <w:rsid w:val="67184FB0"/>
    <w:rsid w:val="67673E36"/>
    <w:rsid w:val="67A7359A"/>
    <w:rsid w:val="67C32ECB"/>
    <w:rsid w:val="67C718D1"/>
    <w:rsid w:val="67E36C7A"/>
    <w:rsid w:val="680726BA"/>
    <w:rsid w:val="68213264"/>
    <w:rsid w:val="68344483"/>
    <w:rsid w:val="68503DB3"/>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947740"/>
    <w:rsid w:val="6DA11102"/>
    <w:rsid w:val="6DBB3515"/>
    <w:rsid w:val="6DC30922"/>
    <w:rsid w:val="6DEC1AE6"/>
    <w:rsid w:val="6EB56FB1"/>
    <w:rsid w:val="6F085736"/>
    <w:rsid w:val="6F2F55F5"/>
    <w:rsid w:val="6F306560"/>
    <w:rsid w:val="6F663E02"/>
    <w:rsid w:val="6FA974BD"/>
    <w:rsid w:val="6FE67322"/>
    <w:rsid w:val="701D527E"/>
    <w:rsid w:val="704F6D52"/>
    <w:rsid w:val="70625B7B"/>
    <w:rsid w:val="70876EAC"/>
    <w:rsid w:val="70F10AD9"/>
    <w:rsid w:val="71255AB0"/>
    <w:rsid w:val="71465FE5"/>
    <w:rsid w:val="7150308A"/>
    <w:rsid w:val="71597204"/>
    <w:rsid w:val="719C3171"/>
    <w:rsid w:val="71A670BA"/>
    <w:rsid w:val="71AF2191"/>
    <w:rsid w:val="71C233B0"/>
    <w:rsid w:val="71D545CF"/>
    <w:rsid w:val="71F21981"/>
    <w:rsid w:val="71FB480F"/>
    <w:rsid w:val="722A1ADB"/>
    <w:rsid w:val="726254B8"/>
    <w:rsid w:val="72BA00C5"/>
    <w:rsid w:val="72BB4E08"/>
    <w:rsid w:val="72FF663B"/>
    <w:rsid w:val="730541A5"/>
    <w:rsid w:val="73231CF3"/>
    <w:rsid w:val="736D6C6F"/>
    <w:rsid w:val="738E13A2"/>
    <w:rsid w:val="73A722CC"/>
    <w:rsid w:val="73CC6C88"/>
    <w:rsid w:val="7427609D"/>
    <w:rsid w:val="74563369"/>
    <w:rsid w:val="7499095B"/>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6"/>
    <w:qFormat/>
    <w:uiPriority w:val="0"/>
    <w:pPr>
      <w:ind w:firstLine="630"/>
    </w:pPr>
    <w:rPr>
      <w:rFonts w:ascii="Times New Roman"/>
      <w:kern w:val="2"/>
      <w:sz w:val="32"/>
    </w:rPr>
  </w:style>
  <w:style w:type="paragraph" w:styleId="9">
    <w:name w:val="Plain Text"/>
    <w:basedOn w:val="1"/>
    <w:link w:val="45"/>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customStyle="1" w:styleId="26">
    <w:name w:val="font31"/>
    <w:qFormat/>
    <w:uiPriority w:val="0"/>
    <w:rPr>
      <w:rFonts w:hint="eastAsia" w:ascii="宋体" w:hAnsi="宋体" w:eastAsia="宋体" w:cs="宋体"/>
      <w:b/>
      <w:color w:val="000000"/>
      <w:sz w:val="22"/>
      <w:szCs w:val="22"/>
      <w:u w:val="none"/>
    </w:rPr>
  </w:style>
  <w:style w:type="character" w:customStyle="1" w:styleId="27">
    <w:name w:val="style1"/>
    <w:qFormat/>
    <w:uiPriority w:val="0"/>
    <w:rPr>
      <w:rFonts w:ascii="Times New Roman" w:hAnsi="Times New Roman" w:eastAsia="宋体" w:cs="Times New Roman"/>
    </w:rPr>
  </w:style>
  <w:style w:type="character" w:customStyle="1" w:styleId="28">
    <w:name w:val="正文缩进 Char"/>
    <w:link w:val="5"/>
    <w:qFormat/>
    <w:uiPriority w:val="0"/>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character" w:customStyle="1" w:styleId="30">
    <w:name w:val="font81"/>
    <w:qFormat/>
    <w:uiPriority w:val="0"/>
    <w:rPr>
      <w:rFonts w:hint="eastAsia" w:ascii="宋体" w:hAnsi="宋体" w:eastAsia="宋体" w:cs="宋体"/>
      <w:b/>
      <w:color w:val="000000"/>
      <w:sz w:val="22"/>
      <w:szCs w:val="22"/>
      <w:u w:val="none"/>
    </w:rPr>
  </w:style>
  <w:style w:type="character" w:customStyle="1" w:styleId="31">
    <w:name w:val="tdrownotice1"/>
    <w:qFormat/>
    <w:uiPriority w:val="0"/>
    <w:rPr>
      <w:rFonts w:hint="default" w:ascii="Times New Roman" w:hAnsi="Times New Roman" w:eastAsia="宋体" w:cs="Times New Roman"/>
      <w:sz w:val="22"/>
    </w:rPr>
  </w:style>
  <w:style w:type="character" w:customStyle="1" w:styleId="32">
    <w:name w:val="表正文 Char1"/>
    <w:qFormat/>
    <w:uiPriority w:val="0"/>
    <w:rPr>
      <w:rFonts w:ascii="Times New Roman" w:hAnsi="Times New Roman" w:eastAsia="宋体" w:cs="Times New Roman"/>
      <w:kern w:val="2"/>
      <w:sz w:val="21"/>
      <w:szCs w:val="24"/>
      <w:lang w:val="en-US" w:eastAsia="zh-CN" w:bidi="ar-SA"/>
    </w:rPr>
  </w:style>
  <w:style w:type="character" w:customStyle="1" w:styleId="33">
    <w:name w:val="font61"/>
    <w:qFormat/>
    <w:uiPriority w:val="0"/>
    <w:rPr>
      <w:rFonts w:hint="eastAsia" w:ascii="微软雅黑" w:hAnsi="微软雅黑" w:eastAsia="微软雅黑" w:cs="微软雅黑"/>
      <w:b/>
      <w:color w:val="000000"/>
      <w:sz w:val="22"/>
      <w:szCs w:val="22"/>
      <w:u w:val="none"/>
    </w:rPr>
  </w:style>
  <w:style w:type="character" w:customStyle="1" w:styleId="34">
    <w:name w:val="font71"/>
    <w:qFormat/>
    <w:uiPriority w:val="0"/>
    <w:rPr>
      <w:rFonts w:hint="eastAsia" w:ascii="宋体" w:hAnsi="宋体" w:eastAsia="宋体" w:cs="宋体"/>
      <w:color w:val="000000"/>
      <w:sz w:val="20"/>
      <w:szCs w:val="20"/>
      <w:u w:val="none"/>
    </w:rPr>
  </w:style>
  <w:style w:type="character" w:customStyle="1" w:styleId="35">
    <w:name w:val="font01"/>
    <w:qFormat/>
    <w:uiPriority w:val="0"/>
    <w:rPr>
      <w:rFonts w:hint="eastAsia" w:ascii="宋体" w:hAnsi="宋体" w:eastAsia="宋体" w:cs="宋体"/>
      <w:i/>
      <w:color w:val="000000"/>
      <w:sz w:val="20"/>
      <w:szCs w:val="20"/>
      <w:u w:val="none"/>
    </w:rPr>
  </w:style>
  <w:style w:type="character" w:customStyle="1" w:styleId="36">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37">
    <w:name w:val="页码1"/>
    <w:qFormat/>
    <w:uiPriority w:val="0"/>
    <w:rPr>
      <w:rFonts w:ascii="Times New Roman" w:hAnsi="Times New Roman" w:eastAsia="宋体" w:cs="Times New Roman"/>
    </w:rPr>
  </w:style>
  <w:style w:type="character" w:customStyle="1" w:styleId="38">
    <w:name w:val="font41"/>
    <w:qFormat/>
    <w:uiPriority w:val="0"/>
    <w:rPr>
      <w:rFonts w:hint="eastAsia" w:ascii="宋体" w:hAnsi="宋体" w:eastAsia="宋体" w:cs="宋体"/>
      <w:color w:val="000000"/>
      <w:sz w:val="24"/>
      <w:szCs w:val="24"/>
      <w:u w:val="none"/>
    </w:rPr>
  </w:style>
  <w:style w:type="character" w:customStyle="1" w:styleId="39">
    <w:name w:val="font111"/>
    <w:qFormat/>
    <w:uiPriority w:val="0"/>
    <w:rPr>
      <w:rFonts w:hint="eastAsia" w:ascii="宋体" w:hAnsi="宋体" w:eastAsia="宋体" w:cs="宋体"/>
      <w:b/>
      <w:color w:val="000000"/>
      <w:sz w:val="32"/>
      <w:szCs w:val="32"/>
      <w:u w:val="none"/>
    </w:rPr>
  </w:style>
  <w:style w:type="character" w:customStyle="1" w:styleId="40">
    <w:name w:val="（符号）邀请函中一、"/>
    <w:qFormat/>
    <w:uiPriority w:val="0"/>
    <w:rPr>
      <w:rFonts w:ascii="黑体" w:hAnsi="黑体" w:eastAsia="黑体" w:cs="Times New Roman"/>
      <w:b/>
      <w:bCs/>
      <w:sz w:val="24"/>
    </w:rPr>
  </w:style>
  <w:style w:type="character" w:customStyle="1" w:styleId="41">
    <w:name w:val="font11"/>
    <w:qFormat/>
    <w:uiPriority w:val="0"/>
    <w:rPr>
      <w:rFonts w:hint="eastAsia" w:ascii="宋体" w:hAnsi="宋体" w:eastAsia="宋体" w:cs="宋体"/>
      <w:color w:val="000000"/>
      <w:sz w:val="24"/>
      <w:szCs w:val="24"/>
      <w:u w:val="none"/>
    </w:rPr>
  </w:style>
  <w:style w:type="character" w:customStyle="1" w:styleId="42">
    <w:name w:val="font21"/>
    <w:qFormat/>
    <w:uiPriority w:val="0"/>
    <w:rPr>
      <w:rFonts w:hint="eastAsia" w:ascii="宋体" w:hAnsi="宋体" w:eastAsia="宋体" w:cs="宋体"/>
      <w:color w:val="000000"/>
      <w:sz w:val="20"/>
      <w:szCs w:val="20"/>
      <w:u w:val="none"/>
    </w:rPr>
  </w:style>
  <w:style w:type="character" w:customStyle="1" w:styleId="43">
    <w:name w:val="左对齐的表内文字 Char"/>
    <w:link w:val="44"/>
    <w:qFormat/>
    <w:uiPriority w:val="0"/>
    <w:rPr>
      <w:rFonts w:ascii="Times New Roman" w:hAnsi="Times New Roman" w:eastAsia="仿宋_GB2312" w:cs="Times New Roman"/>
      <w:kern w:val="2"/>
      <w:sz w:val="21"/>
      <w:lang w:bidi="ar-SA"/>
    </w:rPr>
  </w:style>
  <w:style w:type="paragraph" w:customStyle="1" w:styleId="44">
    <w:name w:val="左对齐的表内文字"/>
    <w:basedOn w:val="1"/>
    <w:link w:val="43"/>
    <w:qFormat/>
    <w:uiPriority w:val="0"/>
    <w:rPr>
      <w:rFonts w:ascii="Times New Roman" w:eastAsia="仿宋_GB2312"/>
      <w:kern w:val="2"/>
      <w:sz w:val="21"/>
    </w:rPr>
  </w:style>
  <w:style w:type="character" w:customStyle="1" w:styleId="45">
    <w:name w:val="纯文本 Char"/>
    <w:link w:val="9"/>
    <w:qFormat/>
    <w:uiPriority w:val="0"/>
    <w:rPr>
      <w:rFonts w:ascii="宋体" w:hAnsi="Courier New" w:eastAsia="宋体" w:cs="Times New Roman"/>
      <w:kern w:val="2"/>
      <w:sz w:val="21"/>
      <w:lang w:val="en-US" w:eastAsia="zh-CN" w:bidi="ar-SA"/>
    </w:rPr>
  </w:style>
  <w:style w:type="paragraph" w:customStyle="1" w:styleId="46">
    <w:name w:val="_Style 3"/>
    <w:basedOn w:val="1"/>
    <w:qFormat/>
    <w:uiPriority w:val="34"/>
    <w:pPr>
      <w:ind w:firstLine="420" w:firstLineChars="200"/>
    </w:pPr>
  </w:style>
  <w:style w:type="paragraph" w:customStyle="1" w:styleId="4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48">
    <w:name w:val="_Style 2"/>
    <w:basedOn w:val="1"/>
    <w:qFormat/>
    <w:uiPriority w:val="34"/>
    <w:pPr>
      <w:ind w:firstLine="420" w:firstLineChars="200"/>
    </w:pPr>
    <w:rPr>
      <w:rFonts w:ascii="Calibri"/>
    </w:rPr>
  </w:style>
  <w:style w:type="paragraph" w:customStyle="1" w:styleId="49">
    <w:name w:val="标准文本"/>
    <w:basedOn w:val="1"/>
    <w:qFormat/>
    <w:uiPriority w:val="0"/>
    <w:pPr>
      <w:spacing w:line="360" w:lineRule="auto"/>
      <w:ind w:firstLine="480" w:firstLineChars="200"/>
    </w:pPr>
    <w:rPr>
      <w:rFonts w:ascii="Times New Roman" w:cs="宋体"/>
      <w:sz w:val="24"/>
    </w:rPr>
  </w:style>
  <w:style w:type="paragraph" w:customStyle="1" w:styleId="50">
    <w:name w:val="正文缩进3"/>
    <w:basedOn w:val="1"/>
    <w:qFormat/>
    <w:uiPriority w:val="0"/>
    <w:pPr>
      <w:autoSpaceDE w:val="0"/>
      <w:autoSpaceDN w:val="0"/>
      <w:adjustRightInd w:val="0"/>
      <w:ind w:firstLine="420"/>
    </w:pPr>
    <w:rPr>
      <w:rFonts w:ascii="Times New Roman"/>
      <w:szCs w:val="21"/>
    </w:rPr>
  </w:style>
  <w:style w:type="paragraph" w:customStyle="1" w:styleId="51">
    <w:name w:val="表格"/>
    <w:basedOn w:val="1"/>
    <w:qFormat/>
    <w:uiPriority w:val="0"/>
    <w:pPr>
      <w:spacing w:line="400" w:lineRule="exact"/>
    </w:pPr>
    <w:rPr>
      <w:rFonts w:ascii="Times New Roman"/>
      <w:sz w:val="24"/>
    </w:rPr>
  </w:style>
  <w:style w:type="paragraph" w:styleId="52">
    <w:name w:val="List Paragraph"/>
    <w:basedOn w:val="1"/>
    <w:qFormat/>
    <w:uiPriority w:val="0"/>
    <w:pPr>
      <w:ind w:firstLine="420" w:firstLineChars="200"/>
    </w:pPr>
    <w:rPr>
      <w:rFonts w:ascii="Times New Roman"/>
      <w:sz w:val="18"/>
      <w:szCs w:val="18"/>
    </w:rPr>
  </w:style>
  <w:style w:type="paragraph" w:customStyle="1" w:styleId="53">
    <w:name w:val="Char1 Char Char Char"/>
    <w:basedOn w:val="1"/>
    <w:qFormat/>
    <w:uiPriority w:val="0"/>
    <w:rPr>
      <w:rFonts w:ascii="Times New Roman" w:eastAsia="仿宋_GB2312"/>
      <w:sz w:val="28"/>
    </w:rPr>
  </w:style>
  <w:style w:type="paragraph" w:customStyle="1" w:styleId="54">
    <w:name w:val="正文首行缩进两字符"/>
    <w:basedOn w:val="1"/>
    <w:qFormat/>
    <w:uiPriority w:val="0"/>
    <w:pPr>
      <w:spacing w:line="360" w:lineRule="auto"/>
      <w:ind w:firstLine="200" w:firstLineChars="200"/>
    </w:pPr>
    <w:rPr>
      <w:rFonts w:ascii="Times New Roman"/>
    </w:rPr>
  </w:style>
  <w:style w:type="paragraph" w:customStyle="1" w:styleId="55">
    <w:name w:val="Body Text 22"/>
    <w:basedOn w:val="1"/>
    <w:qFormat/>
    <w:uiPriority w:val="0"/>
    <w:pPr>
      <w:adjustRightInd w:val="0"/>
      <w:spacing w:line="300" w:lineRule="auto"/>
      <w:jc w:val="center"/>
      <w:textAlignment w:val="baseline"/>
    </w:pPr>
    <w:rPr>
      <w:rFonts w:hAnsi="宋体"/>
      <w:sz w:val="24"/>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列出段落1"/>
    <w:basedOn w:val="1"/>
    <w:qFormat/>
    <w:uiPriority w:val="0"/>
    <w:pPr>
      <w:ind w:firstLine="420" w:firstLineChars="200"/>
    </w:pPr>
    <w:rPr>
      <w:rFonts w:ascii="Times New Roman"/>
    </w:rPr>
  </w:style>
  <w:style w:type="paragraph" w:customStyle="1" w:styleId="58">
    <w:name w:val="p0"/>
    <w:basedOn w:val="1"/>
    <w:qFormat/>
    <w:uiPriority w:val="0"/>
    <w:pPr>
      <w:widowControl/>
    </w:pPr>
    <w:rPr>
      <w:rFonts w:ascii="Times New Roman"/>
      <w:szCs w:val="21"/>
    </w:rPr>
  </w:style>
  <w:style w:type="paragraph" w:customStyle="1" w:styleId="59">
    <w:name w:val="左对齐的表内文字1"/>
    <w:basedOn w:val="1"/>
    <w:qFormat/>
    <w:uiPriority w:val="0"/>
    <w:rPr>
      <w:rFonts w:ascii="Times New Roman"/>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1">
    <w:name w:val="List Paragraph1"/>
    <w:basedOn w:val="1"/>
    <w:qFormat/>
    <w:uiPriority w:val="99"/>
    <w:pPr>
      <w:ind w:firstLine="420" w:firstLineChars="200"/>
    </w:pPr>
    <w:rPr>
      <w:rFonts w:ascii="Times New Roman"/>
      <w:szCs w:val="34"/>
    </w:rPr>
  </w:style>
  <w:style w:type="paragraph" w:customStyle="1" w:styleId="62">
    <w:name w:val="0"/>
    <w:qFormat/>
    <w:uiPriority w:val="0"/>
    <w:pPr>
      <w:snapToGrid w:val="0"/>
    </w:pPr>
    <w:rPr>
      <w:rFonts w:ascii="Calibri" w:hAnsi="Calibri" w:eastAsia="宋体" w:cs="Times New Roman"/>
      <w:lang w:val="en-US" w:eastAsia="zh-CN" w:bidi="ar-SA"/>
    </w:rPr>
  </w:style>
  <w:style w:type="paragraph" w:customStyle="1" w:styleId="63">
    <w:name w:val="pa-8"/>
    <w:basedOn w:val="1"/>
    <w:qFormat/>
    <w:uiPriority w:val="0"/>
    <w:pPr>
      <w:widowControl/>
      <w:spacing w:before="150" w:after="150"/>
      <w:jc w:val="left"/>
    </w:pPr>
    <w:rPr>
      <w:rFonts w:hAnsi="宋体" w:cs="宋体"/>
      <w:sz w:val="24"/>
      <w:szCs w:val="24"/>
    </w:rPr>
  </w:style>
  <w:style w:type="paragraph" w:customStyle="1" w:styleId="64">
    <w:name w:val="+正文"/>
    <w:basedOn w:val="1"/>
    <w:qFormat/>
    <w:uiPriority w:val="0"/>
    <w:pPr>
      <w:spacing w:line="360" w:lineRule="auto"/>
      <w:ind w:firstLine="200" w:firstLineChars="200"/>
    </w:pPr>
    <w:rPr>
      <w:rFonts w:ascii="Times New Roman" w:eastAsia="楷体_GB2312"/>
      <w:szCs w:val="28"/>
    </w:rPr>
  </w:style>
  <w:style w:type="paragraph" w:styleId="65">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6">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67">
    <w:name w:val="样式 首行缩进:  2 字符"/>
    <w:basedOn w:val="1"/>
    <w:qFormat/>
    <w:uiPriority w:val="0"/>
    <w:pPr>
      <w:spacing w:line="400" w:lineRule="exact"/>
      <w:ind w:firstLine="200" w:firstLineChars="200"/>
    </w:pPr>
    <w:rPr>
      <w:rFonts w:ascii="Times New Roman" w:cs="宋体"/>
      <w:sz w:val="24"/>
    </w:rPr>
  </w:style>
  <w:style w:type="paragraph" w:customStyle="1" w:styleId="68">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6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2942</Words>
  <Characters>16771</Characters>
  <Lines>139</Lines>
  <Paragraphs>39</Paragraphs>
  <TotalTime>3</TotalTime>
  <ScaleCrop>false</ScaleCrop>
  <LinksUpToDate>false</LinksUpToDate>
  <CharactersWithSpaces>19674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自由者</cp:lastModifiedBy>
  <cp:lastPrinted>2015-08-20T10:29:00Z</cp:lastPrinted>
  <dcterms:modified xsi:type="dcterms:W3CDTF">2020-11-30T04:44:15Z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