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val="en-US" w:eastAsia="zh-CN"/>
        </w:rPr>
        <w:t>课程诊改试点</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TZY-2020023</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2020</w:t>
      </w:r>
      <w:r>
        <w:rPr>
          <w:rFonts w:hint="eastAsia" w:hAnsi="宋体" w:cs="宋体"/>
          <w:bCs/>
          <w:sz w:val="30"/>
          <w:szCs w:val="30"/>
          <w:lang w:val="zh-CN"/>
        </w:rPr>
        <w:t>年</w:t>
      </w:r>
      <w:r>
        <w:rPr>
          <w:rFonts w:hint="eastAsia" w:hAnsi="宋体" w:cs="宋体"/>
          <w:bCs/>
          <w:sz w:val="30"/>
          <w:szCs w:val="30"/>
        </w:rPr>
        <w:t>1</w:t>
      </w:r>
      <w:r>
        <w:rPr>
          <w:rFonts w:hint="eastAsia" w:hAnsi="宋体" w:cs="宋体"/>
          <w:bCs/>
          <w:sz w:val="30"/>
          <w:szCs w:val="30"/>
          <w:lang w:val="en-US" w:eastAsia="zh-CN"/>
        </w:rPr>
        <w:t>2</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19"/>
      <w:bookmarkStart w:id="3" w:name="_Hlt360036320"/>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22</w:t>
      </w:r>
    </w:p>
    <w:p>
      <w:pPr>
        <w:pStyle w:val="14"/>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25</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2"/>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ind w:firstLine="720" w:firstLineChars="300"/>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课程诊改试点</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8"/>
        <w:numPr>
          <w:ilvl w:val="0"/>
          <w:numId w:val="1"/>
        </w:numPr>
        <w:snapToGrid w:val="0"/>
        <w:spacing w:line="360" w:lineRule="auto"/>
        <w:ind w:firstLine="441" w:firstLineChars="183"/>
        <w:rPr>
          <w:rFonts w:hint="eastAsia" w:ascii="宋体" w:hAnsi="宋体" w:cs="宋体"/>
          <w:b/>
          <w:sz w:val="24"/>
          <w:szCs w:val="24"/>
        </w:rPr>
      </w:pPr>
      <w:r>
        <w:rPr>
          <w:rFonts w:hint="eastAsia" w:ascii="宋体" w:hAnsi="宋体" w:cs="宋体"/>
          <w:b/>
          <w:sz w:val="24"/>
          <w:szCs w:val="24"/>
        </w:rPr>
        <w:t>招标编号：</w:t>
      </w:r>
    </w:p>
    <w:p>
      <w:pPr>
        <w:pStyle w:val="8"/>
        <w:numPr>
          <w:ilvl w:val="0"/>
          <w:numId w:val="1"/>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lang w:val="en-US" w:eastAsia="zh-CN"/>
        </w:rPr>
        <w:t>课程诊改试点</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snapToGrid w:val="0"/>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投标人应为在中华人民共和国境内注册取得营业执照和税务登记证的独立法人；具有良好的商业信誉和健全的财务会计制度；具有履行合同所必需的设备和专业技术能力；有依法缴纳税收和社会保障资金的良好记录；企业法人营业执照已通过本年度年审；且所投产品在其经营范围内。</w:t>
      </w:r>
    </w:p>
    <w:p>
      <w:pPr>
        <w:snapToGrid w:val="0"/>
        <w:spacing w:line="360" w:lineRule="auto"/>
        <w:ind w:firstLine="480" w:firstLineChars="200"/>
        <w:rPr>
          <w:rFonts w:hAnsi="宋体" w:cs="宋体"/>
          <w:sz w:val="24"/>
          <w:szCs w:val="24"/>
        </w:rPr>
      </w:pPr>
      <w:r>
        <w:rPr>
          <w:rFonts w:hint="eastAsia" w:hAnsi="宋体" w:cs="宋体"/>
          <w:sz w:val="24"/>
          <w:szCs w:val="24"/>
        </w:rPr>
        <w:t>2、投标人不是制造商的，应提供制造商针对本项目的授权。</w:t>
      </w:r>
    </w:p>
    <w:p>
      <w:pPr>
        <w:snapToGrid w:val="0"/>
        <w:spacing w:line="360" w:lineRule="auto"/>
        <w:ind w:firstLine="480" w:firstLineChars="200"/>
        <w:rPr>
          <w:rFonts w:hAnsi="宋体" w:cs="宋体"/>
          <w:b/>
          <w:bCs/>
          <w:sz w:val="24"/>
          <w:szCs w:val="24"/>
        </w:rPr>
      </w:pPr>
      <w:r>
        <w:rPr>
          <w:rFonts w:hint="eastAsia" w:hAnsi="宋体" w:cs="宋体"/>
          <w:sz w:val="24"/>
          <w:szCs w:val="24"/>
        </w:rPr>
        <w:t>3、具有良好的商业信誉和健全的财务会计制度，参加政府采购活动前三年内未被列入“信用中国”网站(www.creditchina.gov.cn )失信被执行人、重大税收违法案件当事人、政府采购严重违法失信行为记录名单和“中国政府采购”网站（www.ccgp.gov.cn）政府采购严重违法失信行为记录名单（以递交文件截止当日查询结果为准）。</w:t>
      </w:r>
    </w:p>
    <w:p>
      <w:pPr>
        <w:snapToGrid w:val="0"/>
        <w:spacing w:line="360" w:lineRule="auto"/>
        <w:ind w:firstLine="480" w:firstLineChars="200"/>
        <w:rPr>
          <w:rFonts w:hAnsi="宋体" w:cs="宋体"/>
          <w:sz w:val="24"/>
          <w:szCs w:val="24"/>
        </w:rPr>
      </w:pPr>
      <w:r>
        <w:rPr>
          <w:rFonts w:hint="eastAsia" w:hAnsi="宋体" w:cs="宋体"/>
          <w:sz w:val="24"/>
          <w:szCs w:val="24"/>
        </w:rPr>
        <w:t>4、投标人应遵守有关的国家法律、法令、条例和有关招标制度。一旦参加投标，则应承担相关法律责任。</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2020年</w:t>
      </w:r>
      <w:r>
        <w:rPr>
          <w:rFonts w:hint="eastAsia" w:hAnsi="宋体" w:cs="宋体"/>
          <w:bCs/>
          <w:sz w:val="24"/>
          <w:szCs w:val="24"/>
          <w:lang w:val="en-US" w:eastAsia="zh-CN"/>
        </w:rPr>
        <w:t>12</w:t>
      </w:r>
      <w:r>
        <w:rPr>
          <w:rFonts w:hint="eastAsia" w:hAnsi="宋体" w:cs="宋体"/>
          <w:bCs/>
          <w:sz w:val="24"/>
          <w:szCs w:val="24"/>
        </w:rPr>
        <w:t>月</w:t>
      </w:r>
      <w:r>
        <w:rPr>
          <w:rFonts w:hint="eastAsia" w:hAnsi="宋体" w:cs="宋体"/>
          <w:bCs/>
          <w:sz w:val="24"/>
          <w:szCs w:val="24"/>
          <w:lang w:val="en-US" w:eastAsia="zh-CN"/>
        </w:rPr>
        <w:t>11</w:t>
      </w:r>
      <w:r>
        <w:rPr>
          <w:rFonts w:hint="eastAsia" w:hAnsi="宋体" w:cs="宋体"/>
          <w:bCs/>
          <w:sz w:val="24"/>
          <w:szCs w:val="24"/>
        </w:rPr>
        <w:t>日</w:t>
      </w:r>
      <w:r>
        <w:rPr>
          <w:rFonts w:hint="eastAsia" w:hAnsi="宋体" w:cs="宋体"/>
          <w:bCs/>
          <w:sz w:val="24"/>
          <w:szCs w:val="24"/>
          <w:lang w:val="en-US" w:eastAsia="zh-CN"/>
        </w:rPr>
        <w:t>10:00</w:t>
      </w:r>
      <w:r>
        <w:rPr>
          <w:rFonts w:hint="eastAsia" w:hAnsi="宋体" w:cs="宋体"/>
          <w:sz w:val="24"/>
          <w:szCs w:val="24"/>
        </w:rPr>
        <w:t>（北京时间）。</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ascii="宋体" w:hAnsi="宋体" w:cs="宋体"/>
          <w:sz w:val="24"/>
          <w:szCs w:val="24"/>
        </w:rPr>
        <w:t>。</w:t>
      </w:r>
    </w:p>
    <w:p>
      <w:pPr>
        <w:pStyle w:val="54"/>
        <w:snapToGrid w:val="0"/>
        <w:ind w:firstLine="479" w:firstLineChars="199"/>
        <w:rPr>
          <w:rFonts w:hAnsi="宋体" w:cs="宋体"/>
          <w:b/>
          <w:sz w:val="24"/>
          <w:szCs w:val="24"/>
        </w:rPr>
      </w:pPr>
      <w:r>
        <w:rPr>
          <w:rFonts w:hint="eastAsia" w:hAnsi="宋体" w:cs="宋体"/>
          <w:b/>
          <w:sz w:val="24"/>
          <w:szCs w:val="24"/>
        </w:rPr>
        <w:t>八、联系方式</w:t>
      </w:r>
    </w:p>
    <w:p>
      <w:pPr>
        <w:pStyle w:val="54"/>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4"/>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54"/>
        <w:snapToGrid w:val="0"/>
        <w:ind w:firstLine="919" w:firstLineChars="383"/>
        <w:rPr>
          <w:rFonts w:hAnsi="宋体" w:cs="宋体"/>
          <w:sz w:val="24"/>
        </w:rPr>
      </w:pPr>
      <w:r>
        <w:rPr>
          <w:rFonts w:hint="eastAsia" w:hAnsi="宋体" w:cs="宋体"/>
          <w:sz w:val="24"/>
        </w:rPr>
        <w:t xml:space="preserve">联系人：陈老师   </w:t>
      </w:r>
      <w:r>
        <w:rPr>
          <w:rFonts w:hint="eastAsia" w:hAnsi="宋体" w:cs="宋体"/>
          <w:sz w:val="24"/>
          <w:lang w:val="en-US" w:eastAsia="zh-CN"/>
        </w:rPr>
        <w:t>张</w:t>
      </w:r>
      <w:r>
        <w:rPr>
          <w:rFonts w:hint="eastAsia" w:hAnsi="宋体" w:cs="宋体"/>
          <w:sz w:val="24"/>
        </w:rPr>
        <w:t>老师</w:t>
      </w:r>
    </w:p>
    <w:p>
      <w:pPr>
        <w:pStyle w:val="54"/>
        <w:snapToGrid w:val="0"/>
        <w:ind w:firstLine="919" w:firstLineChars="383"/>
        <w:rPr>
          <w:rFonts w:hint="eastAsia" w:hAnsi="宋体" w:cs="宋体"/>
          <w:sz w:val="24"/>
        </w:rPr>
      </w:pPr>
      <w:r>
        <w:rPr>
          <w:rFonts w:hint="eastAsia" w:hAnsi="宋体" w:cs="宋体"/>
          <w:sz w:val="24"/>
        </w:rPr>
        <w:t>联系电话：028-68939924</w:t>
      </w:r>
    </w:p>
    <w:p>
      <w:pPr>
        <w:pStyle w:val="54"/>
        <w:snapToGrid w:val="0"/>
        <w:ind w:firstLine="919" w:firstLineChars="383"/>
        <w:rPr>
          <w:rFonts w:hAnsi="宋体"/>
          <w:sz w:val="24"/>
          <w:szCs w:val="28"/>
        </w:rPr>
      </w:pPr>
      <w:r>
        <w:rPr>
          <w:rFonts w:hint="eastAsia" w:hAnsi="宋体" w:cs="宋体"/>
          <w:sz w:val="24"/>
        </w:rPr>
        <w:t xml:space="preserve">          028-68939</w:t>
      </w:r>
      <w:r>
        <w:rPr>
          <w:rFonts w:hint="eastAsia" w:hAnsi="宋体" w:cs="宋体"/>
          <w:sz w:val="24"/>
          <w:lang w:val="en-US" w:eastAsia="zh-CN"/>
        </w:rPr>
        <w:t>884</w:t>
      </w:r>
      <w:r>
        <w:rPr>
          <w:rFonts w:hint="eastAsia" w:hAnsi="宋体" w:cs="宋体"/>
          <w:sz w:val="24"/>
        </w:rPr>
        <w:t xml:space="preserve">          </w:t>
      </w:r>
      <w:r>
        <w:rPr>
          <w:rFonts w:hint="eastAsia" w:hAnsi="宋体" w:cs="宋体"/>
          <w:sz w:val="24"/>
        </w:rPr>
        <w:tab/>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5" w:name="_Toc358883242"/>
      <w:bookmarkStart w:id="6" w:name="_Toc213396759"/>
      <w:bookmarkStart w:id="7" w:name="_Toc213496267"/>
      <w:bookmarkStart w:id="8" w:name="_Toc217446031"/>
      <w:bookmarkStart w:id="9" w:name="_Toc213396945"/>
      <w:bookmarkStart w:id="10" w:name="_Toc213397009"/>
      <w:r>
        <w:rPr>
          <w:rFonts w:hint="eastAsia" w:hAnsi="宋体" w:cs="宋体"/>
          <w:sz w:val="30"/>
          <w:szCs w:val="30"/>
        </w:rPr>
        <w:t>第二章  投标人须知</w:t>
      </w:r>
      <w:bookmarkEnd w:id="5"/>
      <w:bookmarkEnd w:id="6"/>
      <w:bookmarkEnd w:id="7"/>
      <w:bookmarkEnd w:id="8"/>
      <w:bookmarkEnd w:id="9"/>
      <w:bookmarkEnd w:id="10"/>
    </w:p>
    <w:p>
      <w:pPr>
        <w:pStyle w:val="3"/>
        <w:snapToGrid w:val="0"/>
        <w:spacing w:before="0" w:after="0" w:line="360" w:lineRule="auto"/>
        <w:jc w:val="center"/>
        <w:rPr>
          <w:rFonts w:ascii="宋体" w:hAnsi="宋体" w:eastAsia="宋体" w:cs="宋体"/>
          <w:sz w:val="30"/>
          <w:szCs w:val="30"/>
        </w:rPr>
      </w:pPr>
      <w:bookmarkStart w:id="11" w:name="_Toc213396760"/>
      <w:bookmarkStart w:id="12" w:name="_Toc213397010"/>
      <w:bookmarkStart w:id="13" w:name="_Toc189727030"/>
      <w:bookmarkStart w:id="14" w:name="_Toc213396946"/>
      <w:bookmarkStart w:id="15" w:name="_Toc213496268"/>
      <w:bookmarkStart w:id="16" w:name="_Toc217446032"/>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6"/>
              <w:snapToGrid w:val="0"/>
              <w:spacing w:line="360" w:lineRule="auto"/>
              <w:jc w:val="center"/>
              <w:rPr>
                <w:lang w:val="zh-CN"/>
              </w:rPr>
            </w:pPr>
            <w:r>
              <w:rPr>
                <w:rFonts w:hint="eastAsia"/>
                <w:lang w:val="zh-CN"/>
              </w:rPr>
              <w:t xml:space="preserve">序号 </w:t>
            </w:r>
          </w:p>
        </w:tc>
        <w:tc>
          <w:tcPr>
            <w:tcW w:w="1916" w:type="dxa"/>
            <w:vAlign w:val="center"/>
          </w:tcPr>
          <w:p>
            <w:pPr>
              <w:pStyle w:val="56"/>
              <w:snapToGrid w:val="0"/>
              <w:spacing w:line="360" w:lineRule="auto"/>
              <w:jc w:val="center"/>
              <w:rPr>
                <w:lang w:val="zh-CN"/>
              </w:rPr>
            </w:pPr>
            <w:r>
              <w:rPr>
                <w:rFonts w:hint="eastAsia"/>
                <w:lang w:val="zh-CN"/>
              </w:rPr>
              <w:t xml:space="preserve">应知事项 </w:t>
            </w:r>
          </w:p>
        </w:tc>
        <w:tc>
          <w:tcPr>
            <w:tcW w:w="6819" w:type="dxa"/>
            <w:vAlign w:val="center"/>
          </w:tcPr>
          <w:p>
            <w:pPr>
              <w:pStyle w:val="56"/>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6"/>
              <w:snapToGrid w:val="0"/>
              <w:spacing w:line="360" w:lineRule="auto"/>
              <w:jc w:val="center"/>
            </w:pPr>
            <w:r>
              <w:rPr>
                <w:rFonts w:hint="eastAsia"/>
              </w:rPr>
              <w:t>1</w:t>
            </w:r>
          </w:p>
        </w:tc>
        <w:tc>
          <w:tcPr>
            <w:tcW w:w="1916" w:type="dxa"/>
            <w:vAlign w:val="center"/>
          </w:tcPr>
          <w:p>
            <w:pPr>
              <w:pStyle w:val="56"/>
              <w:snapToGrid w:val="0"/>
              <w:spacing w:line="360" w:lineRule="auto"/>
              <w:jc w:val="center"/>
              <w:rPr>
                <w:lang w:val="zh-CN"/>
              </w:rPr>
            </w:pPr>
            <w:r>
              <w:rPr>
                <w:rFonts w:hint="eastAsia"/>
                <w:lang w:val="zh-CN"/>
              </w:rPr>
              <w:t>采购人</w:t>
            </w:r>
          </w:p>
        </w:tc>
        <w:tc>
          <w:tcPr>
            <w:tcW w:w="6819" w:type="dxa"/>
            <w:vAlign w:val="center"/>
          </w:tcPr>
          <w:p>
            <w:pPr>
              <w:pStyle w:val="54"/>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6"/>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6"/>
              <w:snapToGrid w:val="0"/>
              <w:spacing w:line="360" w:lineRule="auto"/>
              <w:ind w:firstLine="240" w:firstLineChars="100"/>
              <w:rPr>
                <w:lang w:val="zh-CN"/>
              </w:rPr>
            </w:pPr>
            <w:r>
              <w:rPr>
                <w:rFonts w:hint="eastAsia"/>
                <w:lang w:val="zh-CN"/>
              </w:rPr>
              <w:t>联 系 人：</w:t>
            </w:r>
            <w:r>
              <w:rPr>
                <w:rFonts w:hint="eastAsia"/>
              </w:rPr>
              <w:t>陈老师</w:t>
            </w:r>
          </w:p>
          <w:p>
            <w:pPr>
              <w:pStyle w:val="56"/>
              <w:snapToGrid w:val="0"/>
              <w:spacing w:line="360" w:lineRule="auto"/>
              <w:ind w:firstLine="240" w:firstLineChars="100"/>
              <w:rPr>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2</w:t>
            </w:r>
          </w:p>
        </w:tc>
        <w:tc>
          <w:tcPr>
            <w:tcW w:w="1916" w:type="dxa"/>
            <w:vAlign w:val="center"/>
          </w:tcPr>
          <w:p>
            <w:pPr>
              <w:pStyle w:val="56"/>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6"/>
              <w:snapToGrid w:val="0"/>
              <w:spacing w:line="360" w:lineRule="auto"/>
              <w:ind w:firstLine="120" w:firstLineChars="50"/>
              <w:rPr>
                <w:lang w:val="zh-CN"/>
              </w:rPr>
            </w:pPr>
            <w:r>
              <w:rPr>
                <w:rFonts w:hint="eastAsia" w:cs="宋体"/>
                <w:bCs/>
                <w:sz w:val="24"/>
                <w:szCs w:val="24"/>
                <w:lang w:val="en-US" w:eastAsia="zh-CN"/>
              </w:rPr>
              <w:t>课程诊改试点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6"/>
              <w:snapToGrid w:val="0"/>
              <w:spacing w:line="360" w:lineRule="auto"/>
              <w:jc w:val="center"/>
            </w:pPr>
            <w:r>
              <w:rPr>
                <w:rFonts w:hint="eastAsia"/>
              </w:rPr>
              <w:t>3</w:t>
            </w:r>
          </w:p>
        </w:tc>
        <w:tc>
          <w:tcPr>
            <w:tcW w:w="1916" w:type="dxa"/>
            <w:vAlign w:val="center"/>
          </w:tcPr>
          <w:p>
            <w:pPr>
              <w:pStyle w:val="56"/>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56"/>
              <w:snapToGrid w:val="0"/>
              <w:spacing w:line="360" w:lineRule="auto"/>
              <w:ind w:firstLine="240" w:firstLineChars="100"/>
              <w:rPr>
                <w:rFonts w:hint="default" w:eastAsia="宋体"/>
                <w:lang w:val="en-US" w:eastAsia="zh-CN"/>
              </w:rPr>
            </w:pPr>
            <w:r>
              <w:rPr>
                <w:rFonts w:hint="eastAsia"/>
                <w:lang w:val="en-US" w:eastAsia="zh-CN"/>
              </w:rPr>
              <w:t>TZY-2020023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pPr>
            <w:r>
              <w:rPr>
                <w:rFonts w:hint="eastAsia"/>
              </w:rPr>
              <w:t>4</w:t>
            </w:r>
          </w:p>
        </w:tc>
        <w:tc>
          <w:tcPr>
            <w:tcW w:w="1916" w:type="dxa"/>
            <w:vAlign w:val="center"/>
          </w:tcPr>
          <w:p>
            <w:pPr>
              <w:pStyle w:val="56"/>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6"/>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5</w:t>
            </w:r>
          </w:p>
        </w:tc>
        <w:tc>
          <w:tcPr>
            <w:tcW w:w="1916" w:type="dxa"/>
            <w:vAlign w:val="center"/>
          </w:tcPr>
          <w:p>
            <w:pPr>
              <w:pStyle w:val="56"/>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6"/>
              <w:snapToGrid w:val="0"/>
              <w:spacing w:line="360" w:lineRule="auto"/>
              <w:ind w:firstLine="240" w:firstLineChars="100"/>
              <w:rPr>
                <w:lang w:val="zh-CN"/>
              </w:rPr>
            </w:pPr>
            <w:r>
              <w:rPr>
                <w:rFonts w:hint="eastAsia"/>
                <w:lang w:val="en-US" w:eastAsia="zh-CN"/>
              </w:rPr>
              <w:t>7.5</w:t>
            </w:r>
            <w: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6"/>
              <w:snapToGrid w:val="0"/>
              <w:spacing w:line="360" w:lineRule="auto"/>
              <w:jc w:val="center"/>
            </w:pPr>
            <w:r>
              <w:rPr>
                <w:rFonts w:hint="eastAsia"/>
              </w:rPr>
              <w:t>6</w:t>
            </w:r>
          </w:p>
        </w:tc>
        <w:tc>
          <w:tcPr>
            <w:tcW w:w="1916" w:type="dxa"/>
            <w:vAlign w:val="center"/>
          </w:tcPr>
          <w:p>
            <w:pPr>
              <w:pStyle w:val="56"/>
              <w:snapToGrid w:val="0"/>
              <w:spacing w:line="360" w:lineRule="auto"/>
              <w:jc w:val="center"/>
              <w:rPr>
                <w:lang w:val="zh-CN"/>
              </w:rPr>
            </w:pPr>
            <w:r>
              <w:rPr>
                <w:rFonts w:hint="eastAsia"/>
                <w:lang w:val="zh-CN"/>
              </w:rPr>
              <w:t>构成招标文件的其他文件</w:t>
            </w:r>
          </w:p>
        </w:tc>
        <w:tc>
          <w:tcPr>
            <w:tcW w:w="6819" w:type="dxa"/>
            <w:vAlign w:val="center"/>
          </w:tcPr>
          <w:p>
            <w:pPr>
              <w:pStyle w:val="56"/>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7</w:t>
            </w:r>
          </w:p>
        </w:tc>
        <w:tc>
          <w:tcPr>
            <w:tcW w:w="1916" w:type="dxa"/>
            <w:vAlign w:val="center"/>
          </w:tcPr>
          <w:p>
            <w:pPr>
              <w:pStyle w:val="56"/>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6"/>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6"/>
              <w:snapToGrid w:val="0"/>
              <w:spacing w:line="360" w:lineRule="auto"/>
              <w:jc w:val="center"/>
              <w:rPr>
                <w:lang w:val="zh-CN"/>
              </w:rPr>
            </w:pPr>
            <w:r>
              <w:rPr>
                <w:rFonts w:hint="eastAsia"/>
              </w:rPr>
              <w:t>8</w:t>
            </w:r>
          </w:p>
        </w:tc>
        <w:tc>
          <w:tcPr>
            <w:tcW w:w="1916" w:type="dxa"/>
            <w:vAlign w:val="center"/>
          </w:tcPr>
          <w:p>
            <w:pPr>
              <w:pStyle w:val="56"/>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6"/>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rPr>
                <w:lang w:val="zh-CN"/>
              </w:rPr>
            </w:pPr>
            <w:r>
              <w:rPr>
                <w:rFonts w:hint="eastAsia"/>
                <w:lang w:val="zh-CN"/>
              </w:rPr>
              <w:t>a.时间和地点详见 “投标邀请”;</w:t>
            </w:r>
          </w:p>
          <w:p>
            <w:pPr>
              <w:pStyle w:val="56"/>
              <w:snapToGrid w:val="0"/>
              <w:spacing w:line="360" w:lineRule="auto"/>
              <w:rPr>
                <w:lang w:val="zh-CN"/>
              </w:rPr>
            </w:pPr>
            <w:r>
              <w:rPr>
                <w:rFonts w:hint="eastAsia"/>
                <w:lang w:val="zh-CN"/>
              </w:rPr>
              <w:t>b.采购人在招标文件规定的时间和地点组织开标，投标人代表人执有效身份证参加。</w:t>
            </w:r>
          </w:p>
          <w:p>
            <w:pPr>
              <w:pStyle w:val="56"/>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6"/>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6"/>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6"/>
              <w:snapToGrid w:val="0"/>
              <w:spacing w:line="360" w:lineRule="auto"/>
              <w:ind w:firstLine="240" w:firstLineChars="100"/>
              <w:rPr>
                <w:highlight w:val="yellow"/>
                <w:lang w:val="zh-CN"/>
              </w:rPr>
            </w:pPr>
            <w:r>
              <w:rPr>
                <w:rFonts w:hint="eastAsia"/>
                <w:lang w:val="zh-CN"/>
              </w:rPr>
              <w:t>时间：</w:t>
            </w:r>
            <w:r>
              <w:rPr>
                <w:rFonts w:hint="eastAsia"/>
              </w:rPr>
              <w:t>2020</w:t>
            </w:r>
            <w:r>
              <w:rPr>
                <w:rFonts w:hint="eastAsia"/>
                <w:lang w:val="zh-CN"/>
              </w:rPr>
              <w:t>年</w:t>
            </w:r>
            <w:r>
              <w:rPr>
                <w:rFonts w:hint="eastAsia"/>
                <w:lang w:val="en-US" w:eastAsia="zh-CN"/>
              </w:rPr>
              <w:t>12</w:t>
            </w:r>
            <w:r>
              <w:rPr>
                <w:rFonts w:hint="eastAsia"/>
              </w:rPr>
              <w:t>月</w:t>
            </w:r>
            <w:r>
              <w:rPr>
                <w:rFonts w:hint="eastAsia"/>
                <w:lang w:val="en-US" w:eastAsia="zh-CN"/>
              </w:rPr>
              <w:t>11</w:t>
            </w:r>
            <w:r>
              <w:rPr>
                <w:rFonts w:hint="eastAsia"/>
                <w:lang w:val="zh-CN"/>
              </w:rPr>
              <w:t>日</w:t>
            </w:r>
            <w:r>
              <w:rPr>
                <w:rFonts w:hint="eastAsia"/>
                <w:lang w:val="en-US" w:eastAsia="zh-CN"/>
              </w:rPr>
              <w:t>10:00</w:t>
            </w:r>
            <w:r>
              <w:rPr>
                <w:rFonts w:hint="eastAsia"/>
                <w:lang w:val="zh-CN"/>
              </w:rPr>
              <w:t>（北京时间）</w:t>
            </w:r>
          </w:p>
          <w:p>
            <w:pPr>
              <w:pStyle w:val="56"/>
              <w:snapToGrid w:val="0"/>
              <w:spacing w:line="360" w:lineRule="auto"/>
              <w:ind w:firstLine="240" w:firstLineChars="100"/>
            </w:pPr>
            <w:r>
              <w:rPr>
                <w:rFonts w:hint="eastAsia"/>
                <w:lang w:val="zh-CN"/>
              </w:rPr>
              <w:t>地点：</w:t>
            </w:r>
            <w:r>
              <w:rPr>
                <w:rFonts w:hint="eastAsia"/>
              </w:rPr>
              <w:t>四川成都郫县安德镇彭温路399号</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7" w:name="_Toc77400779"/>
      <w:bookmarkStart w:id="18" w:name="_Toc183582209"/>
      <w:bookmarkStart w:id="19" w:name="_Toc217446038"/>
      <w:bookmarkStart w:id="20" w:name="_Toc89075875"/>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4"/>
        <w:snapToGrid w:val="0"/>
        <w:spacing w:before="0" w:after="0" w:line="360" w:lineRule="auto"/>
        <w:ind w:firstLine="161" w:firstLineChars="67"/>
        <w:rPr>
          <w:rFonts w:hAnsi="宋体" w:cs="宋体"/>
          <w:sz w:val="24"/>
          <w:szCs w:val="24"/>
        </w:rPr>
      </w:pPr>
      <w:bookmarkStart w:id="22" w:name="_Toc183682347"/>
      <w:bookmarkStart w:id="23" w:name="_Toc183582210"/>
      <w:bookmarkStart w:id="24" w:name="_Toc217446039"/>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bookmarkStart w:id="107" w:name="_GoBack"/>
      <w:bookmarkEnd w:id="107"/>
    </w:p>
    <w:p>
      <w:pPr>
        <w:pStyle w:val="4"/>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8" w:name="_Toc217446042"/>
      <w:bookmarkStart w:id="29" w:name="_Toc183682351"/>
      <w:bookmarkStart w:id="30" w:name="_Toc183582214"/>
      <w:bookmarkStart w:id="31" w:name="_Toc89075876"/>
      <w:bookmarkStart w:id="32" w:name="_Toc77400780"/>
      <w:r>
        <w:rPr>
          <w:rFonts w:hint="eastAsia" w:ascii="宋体" w:hAnsi="宋体" w:eastAsia="宋体" w:cs="宋体"/>
          <w:sz w:val="30"/>
          <w:szCs w:val="30"/>
        </w:rPr>
        <w:t>三、投标文件</w:t>
      </w:r>
      <w:bookmarkEnd w:id="28"/>
      <w:bookmarkEnd w:id="29"/>
      <w:bookmarkEnd w:id="30"/>
      <w:bookmarkEnd w:id="31"/>
      <w:bookmarkEnd w:id="32"/>
    </w:p>
    <w:p>
      <w:pPr>
        <w:pStyle w:val="4"/>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8" w:name="_Toc183582217"/>
      <w:bookmarkStart w:id="39" w:name="_Toc217446048"/>
      <w:bookmarkStart w:id="40" w:name="_Toc183682354"/>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9" w:name="_Toc183682363"/>
      <w:bookmarkStart w:id="50" w:name="_Toc77400781"/>
      <w:bookmarkStart w:id="51" w:name="_Toc183582226"/>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217446056"/>
      <w:bookmarkStart w:id="62" w:name="_Toc89075878"/>
      <w:bookmarkStart w:id="63" w:name="_Toc183582231"/>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183682369"/>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3"/>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3"/>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3"/>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3"/>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3"/>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pStyle w:val="2"/>
        <w:snapToGrid w:val="0"/>
        <w:spacing w:before="0" w:after="0" w:line="360" w:lineRule="auto"/>
        <w:jc w:val="center"/>
        <w:rPr>
          <w:rFonts w:hAnsi="宋体" w:cs="宋体"/>
          <w:sz w:val="30"/>
          <w:szCs w:val="30"/>
        </w:rPr>
      </w:pPr>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3"/>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4"/>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37145385"/>
      <w:bookmarkStart w:id="89" w:name="_Toc250041691"/>
      <w:bookmarkStart w:id="90" w:name="_Toc256175382"/>
      <w:bookmarkStart w:id="91" w:name="_Toc263753600"/>
      <w:bookmarkStart w:id="92" w:name="_Toc2972049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3"/>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3"/>
        <w:snapToGrid w:val="0"/>
        <w:spacing w:before="0" w:after="0" w:line="360" w:lineRule="auto"/>
        <w:jc w:val="center"/>
        <w:rPr>
          <w:rFonts w:ascii="宋体" w:hAnsi="宋体" w:eastAsia="宋体" w:cs="宋体"/>
        </w:rPr>
      </w:pPr>
      <w:bookmarkStart w:id="96"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3"/>
        <w:snapToGrid w:val="0"/>
        <w:spacing w:before="0" w:after="0" w:line="360" w:lineRule="auto"/>
        <w:jc w:val="center"/>
        <w:rPr>
          <w:rFonts w:ascii="宋体" w:hAnsi="宋体" w:eastAsia="宋体" w:cs="宋体"/>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b/>
          <w:sz w:val="32"/>
          <w:szCs w:val="32"/>
        </w:rPr>
      </w:pPr>
      <w:r>
        <w:rPr>
          <w:rFonts w:hAnsi="宋体" w:cs="宋体"/>
        </w:rP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2"/>
        <w:snapToGrid w:val="0"/>
        <w:spacing w:before="0" w:after="283" w:afterLines="60" w:line="360" w:lineRule="auto"/>
        <w:jc w:val="both"/>
        <w:rPr>
          <w:rFonts w:hint="eastAsia" w:hAnsi="宋体"/>
          <w:sz w:val="32"/>
          <w:szCs w:val="32"/>
        </w:rPr>
      </w:pPr>
      <w:bookmarkStart w:id="97" w:name="_Hlk42504294"/>
    </w:p>
    <w:p>
      <w:pPr>
        <w:pStyle w:val="2"/>
        <w:snapToGrid w:val="0"/>
        <w:spacing w:before="0" w:after="283" w:afterLines="60" w:line="360" w:lineRule="auto"/>
        <w:jc w:val="center"/>
        <w:rPr>
          <w:rFonts w:hint="eastAsia" w:hAnsi="宋体"/>
          <w:sz w:val="32"/>
          <w:szCs w:val="32"/>
        </w:rPr>
      </w:pPr>
      <w:r>
        <w:rPr>
          <w:rFonts w:hint="eastAsia" w:hAnsi="宋体"/>
          <w:sz w:val="32"/>
          <w:szCs w:val="32"/>
        </w:rPr>
        <w:t>第四章  招标项目技术、商务及其他要求</w:t>
      </w:r>
    </w:p>
    <w:tbl>
      <w:tblPr>
        <w:tblStyle w:val="19"/>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65" w:type="dxa"/>
            <w:noWrap w:val="0"/>
            <w:vAlign w:val="center"/>
          </w:tcPr>
          <w:p>
            <w:pPr>
              <w:spacing w:line="360" w:lineRule="exact"/>
              <w:jc w:val="center"/>
              <w:rPr>
                <w:rFonts w:hint="eastAsia" w:hAnsi="宋体"/>
                <w:sz w:val="24"/>
                <w:szCs w:val="24"/>
                <w:lang w:val="en-US" w:eastAsia="zh-CN"/>
              </w:rPr>
            </w:pPr>
            <w:r>
              <w:rPr>
                <w:rFonts w:hint="eastAsia" w:hAnsi="宋体"/>
                <w:sz w:val="24"/>
                <w:szCs w:val="24"/>
              </w:rPr>
              <w:t>项目</w:t>
            </w:r>
            <w:r>
              <w:rPr>
                <w:rFonts w:hint="eastAsia" w:hAnsi="宋体"/>
                <w:sz w:val="24"/>
                <w:szCs w:val="24"/>
                <w:lang w:val="en-US" w:eastAsia="zh-CN"/>
              </w:rPr>
              <w:t xml:space="preserve"> </w:t>
            </w:r>
          </w:p>
          <w:p>
            <w:pPr>
              <w:spacing w:line="360" w:lineRule="exact"/>
              <w:jc w:val="center"/>
              <w:rPr>
                <w:rFonts w:hint="eastAsia" w:hAnsi="宋体"/>
                <w:sz w:val="24"/>
                <w:szCs w:val="24"/>
              </w:rPr>
            </w:pPr>
            <w:r>
              <w:rPr>
                <w:rFonts w:hint="eastAsia" w:hAnsi="宋体"/>
                <w:sz w:val="24"/>
                <w:szCs w:val="24"/>
              </w:rPr>
              <w:t>名称</w:t>
            </w:r>
          </w:p>
        </w:tc>
        <w:tc>
          <w:tcPr>
            <w:tcW w:w="8250" w:type="dxa"/>
            <w:noWrap w:val="0"/>
            <w:vAlign w:val="center"/>
          </w:tcPr>
          <w:p>
            <w:pPr>
              <w:spacing w:line="360" w:lineRule="auto"/>
              <w:jc w:val="center"/>
              <w:rPr>
                <w:rFonts w:hint="eastAsia" w:hAnsi="宋体" w:cs="宋体"/>
                <w:color w:val="000000"/>
                <w:sz w:val="24"/>
                <w:szCs w:val="24"/>
              </w:rPr>
            </w:pPr>
            <w:r>
              <w:rPr>
                <w:rFonts w:hint="eastAsia" w:hAnsi="宋体" w:cs="宋体"/>
                <w:color w:val="000000"/>
                <w:sz w:val="24"/>
                <w:szCs w:val="24"/>
              </w:rPr>
              <w:t>课程诊改试点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65" w:type="dxa"/>
            <w:noWrap w:val="0"/>
            <w:vAlign w:val="center"/>
          </w:tcPr>
          <w:p>
            <w:pPr>
              <w:spacing w:line="360" w:lineRule="exact"/>
              <w:jc w:val="center"/>
              <w:rPr>
                <w:rFonts w:hint="eastAsia" w:hAnsi="宋体"/>
                <w:sz w:val="24"/>
                <w:szCs w:val="24"/>
              </w:rPr>
            </w:pPr>
            <w:r>
              <w:rPr>
                <w:rFonts w:hint="eastAsia" w:hAnsi="宋体"/>
                <w:sz w:val="24"/>
                <w:szCs w:val="24"/>
              </w:rPr>
              <w:t>详细技术参数</w:t>
            </w:r>
          </w:p>
          <w:p>
            <w:pPr>
              <w:spacing w:line="360" w:lineRule="exact"/>
              <w:jc w:val="center"/>
              <w:rPr>
                <w:rFonts w:hint="eastAsia" w:hAnsi="宋体"/>
                <w:sz w:val="24"/>
                <w:szCs w:val="24"/>
              </w:rPr>
            </w:pPr>
            <w:r>
              <w:rPr>
                <w:rFonts w:hint="eastAsia" w:hAnsi="宋体"/>
                <w:sz w:val="24"/>
                <w:szCs w:val="24"/>
              </w:rPr>
              <w:t>（包括：数量、技术要求和售后服务要求等）</w:t>
            </w:r>
          </w:p>
        </w:tc>
        <w:tc>
          <w:tcPr>
            <w:tcW w:w="8250" w:type="dxa"/>
            <w:tcBorders>
              <w:bottom w:val="single" w:color="auto" w:sz="4" w:space="0"/>
            </w:tcBorders>
            <w:noWrap w:val="0"/>
            <w:vAlign w:val="center"/>
          </w:tcPr>
          <w:p>
            <w:pPr>
              <w:jc w:val="left"/>
              <w:rPr>
                <w:rFonts w:hint="eastAsia" w:hAnsi="宋体"/>
                <w:b/>
                <w:bCs/>
                <w:sz w:val="24"/>
                <w:szCs w:val="28"/>
              </w:rPr>
            </w:pPr>
            <w:r>
              <w:rPr>
                <w:rFonts w:hint="eastAsia" w:hAnsi="宋体"/>
                <w:b/>
                <w:bCs/>
                <w:sz w:val="24"/>
                <w:szCs w:val="28"/>
              </w:rPr>
              <w:t>一、项目概述：</w:t>
            </w:r>
          </w:p>
          <w:p>
            <w:pPr>
              <w:widowControl/>
              <w:ind w:firstLine="480" w:firstLineChars="200"/>
              <w:jc w:val="left"/>
              <w:rPr>
                <w:rFonts w:hAnsi="宋体" w:eastAsia="等线" w:cs="宋体"/>
                <w:color w:val="000000"/>
                <w:sz w:val="24"/>
                <w:szCs w:val="24"/>
              </w:rPr>
            </w:pPr>
            <w:r>
              <w:rPr>
                <w:rFonts w:hint="eastAsia" w:hAnsi="宋体" w:cs="宋体"/>
                <w:color w:val="000000"/>
                <w:sz w:val="24"/>
                <w:szCs w:val="24"/>
              </w:rPr>
              <w:t>建立高职院校内部质量保证体系诊断与改进制度，是现代职教体系的重要内容。根据《教育部办公厅关于建立职业院校教学工作诊断与改进制度的通知》（教职成厅〔2015〕2号）、四川省教育厅《关于启动高等职业院校内部质量保证体系</w:t>
            </w:r>
            <w:r>
              <w:rPr>
                <w:rFonts w:hAnsi="宋体" w:cs="宋体"/>
                <w:color w:val="000000"/>
                <w:sz w:val="24"/>
                <w:szCs w:val="24"/>
              </w:rPr>
              <w:t>诊断与改进工作的通知</w:t>
            </w:r>
            <w:r>
              <w:rPr>
                <w:rFonts w:hint="eastAsia" w:hAnsi="宋体" w:cs="宋体"/>
                <w:color w:val="000000"/>
                <w:sz w:val="24"/>
                <w:szCs w:val="24"/>
              </w:rPr>
              <w:t>》以及《高等职业院校内部质量保证体系诊断与改进复核工作指引》等文件精神，以内部质量保证体系建立与运行方案为基础,以智能化信息平台建设为支撑,以自我诊改为手段,建立学校、专业、课程、教师、学生不同层面(简称五个层面)既相对独立又有机联系的自我质量保证机制,推进内部质量保证体系建设,建立常态化的自主保证人才培养质量机制,营造现代质量文化,是学院履行质量保证主体责任的制度设计，是学院持续提高人才培养质量、可持续发展的基本要求。</w:t>
            </w:r>
          </w:p>
          <w:p>
            <w:pPr>
              <w:widowControl/>
              <w:ind w:firstLine="480" w:firstLineChars="200"/>
              <w:jc w:val="left"/>
              <w:rPr>
                <w:rFonts w:hint="eastAsia" w:hAnsi="宋体" w:cs="宋体"/>
                <w:color w:val="000000"/>
                <w:sz w:val="24"/>
                <w:szCs w:val="24"/>
              </w:rPr>
            </w:pPr>
            <w:r>
              <w:rPr>
                <w:rFonts w:hint="eastAsia" w:hAnsi="宋体" w:cs="宋体"/>
                <w:color w:val="000000"/>
                <w:sz w:val="24"/>
                <w:szCs w:val="24"/>
              </w:rPr>
              <w:t>本次立项建设的课程诊改试点项目，是考虑到学院教学诊改工作的实际情况，配套学院“内部质量保证体系运行与诊改平台（一期）”建设，开展课程层面诊改工作试点，旨在探索诊改平台建设机制，为全面推进教学工作诊断与改进积累经验。</w:t>
            </w:r>
          </w:p>
          <w:p>
            <w:pPr>
              <w:spacing w:line="400" w:lineRule="exact"/>
              <w:rPr>
                <w:rFonts w:hint="eastAsia" w:hAnsi="宋体"/>
                <w:b/>
                <w:bCs/>
                <w:sz w:val="24"/>
                <w:szCs w:val="28"/>
              </w:rPr>
            </w:pPr>
            <w:r>
              <w:rPr>
                <w:rFonts w:hint="eastAsia" w:hAnsi="宋体"/>
                <w:b/>
                <w:bCs/>
                <w:sz w:val="24"/>
                <w:szCs w:val="28"/>
              </w:rPr>
              <w:t>二、建设要求：</w:t>
            </w:r>
          </w:p>
          <w:p>
            <w:pPr>
              <w:widowControl/>
              <w:ind w:firstLine="480" w:firstLineChars="200"/>
              <w:jc w:val="left"/>
              <w:rPr>
                <w:rFonts w:hint="eastAsia" w:hAnsi="宋体" w:cs="宋体"/>
                <w:color w:val="000000"/>
                <w:sz w:val="24"/>
                <w:szCs w:val="24"/>
              </w:rPr>
            </w:pPr>
            <w:r>
              <w:rPr>
                <w:rFonts w:hint="eastAsia" w:hAnsi="宋体" w:cs="宋体"/>
                <w:color w:val="000000"/>
                <w:sz w:val="24"/>
                <w:szCs w:val="24"/>
              </w:rPr>
              <w:t>本次项目根据我院专业和学科情况，遴选了15门课程（含专业课、公共课、思政课，见附表）作为建设试点，要求按照课程建设的要素，对照国家精品在线开放课程的标准，诊改复核指引对课程层面的基本要求，完成15门课程的课程建设规划、课程教学目标标准、课堂教学规范、课程资源建设、考核评价方式等基础建设，并开展课堂教学、课程考核评价诊改运行试点。</w:t>
            </w:r>
          </w:p>
          <w:p>
            <w:pPr>
              <w:spacing w:line="400" w:lineRule="exact"/>
              <w:rPr>
                <w:rFonts w:hint="eastAsia" w:hAnsi="宋体"/>
                <w:b/>
                <w:bCs/>
                <w:sz w:val="24"/>
                <w:szCs w:val="28"/>
              </w:rPr>
            </w:pPr>
            <w:r>
              <w:rPr>
                <w:rFonts w:hint="eastAsia" w:hAnsi="宋体"/>
                <w:b/>
                <w:bCs/>
                <w:sz w:val="24"/>
                <w:szCs w:val="28"/>
              </w:rPr>
              <w:t>三、建设内容</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本次项目共建设15门课程（见附表），每门课程建设内容应包含以下内容：</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1.规划任务</w:t>
            </w:r>
          </w:p>
          <w:p>
            <w:pPr>
              <w:spacing w:line="400" w:lineRule="exact"/>
              <w:ind w:firstLine="480" w:firstLineChars="200"/>
              <w:rPr>
                <w:rFonts w:hAnsi="宋体" w:eastAsia="等线" w:cs="宋体"/>
                <w:color w:val="000000"/>
                <w:sz w:val="24"/>
                <w:szCs w:val="24"/>
              </w:rPr>
            </w:pPr>
            <w:r>
              <w:rPr>
                <w:rFonts w:hint="eastAsia" w:hAnsi="宋体" w:cs="宋体"/>
                <w:color w:val="000000"/>
                <w:sz w:val="24"/>
                <w:szCs w:val="24"/>
              </w:rPr>
              <w:t>课程建设现状调研报告</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课程建设规划</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课程教学改革规划</w:t>
            </w:r>
          </w:p>
          <w:p>
            <w:pPr>
              <w:spacing w:line="400" w:lineRule="exact"/>
              <w:ind w:firstLine="480" w:firstLineChars="200"/>
              <w:rPr>
                <w:rFonts w:hAnsi="宋体" w:eastAsia="等线" w:cs="宋体"/>
                <w:color w:val="000000"/>
                <w:sz w:val="24"/>
                <w:szCs w:val="24"/>
              </w:rPr>
            </w:pPr>
            <w:r>
              <w:rPr>
                <w:rFonts w:hint="eastAsia" w:hAnsi="宋体" w:cs="宋体"/>
                <w:color w:val="000000"/>
                <w:sz w:val="24"/>
                <w:szCs w:val="24"/>
              </w:rPr>
              <w:t>课程思政建设规划</w:t>
            </w:r>
          </w:p>
          <w:p>
            <w:pPr>
              <w:spacing w:line="400" w:lineRule="exact"/>
              <w:ind w:firstLine="480" w:firstLineChars="200"/>
              <w:rPr>
                <w:rFonts w:hint="eastAsia" w:hAnsi="宋体" w:eastAsia="等线" w:cs="宋体"/>
                <w:color w:val="000000"/>
                <w:sz w:val="24"/>
                <w:szCs w:val="24"/>
              </w:rPr>
            </w:pPr>
            <w:r>
              <w:rPr>
                <w:rFonts w:hint="eastAsia" w:hAnsi="宋体" w:cs="宋体"/>
                <w:color w:val="000000"/>
                <w:sz w:val="24"/>
                <w:szCs w:val="24"/>
              </w:rPr>
              <w:t>课程教学资源建设规划</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2.重点任务</w:t>
            </w:r>
          </w:p>
          <w:p>
            <w:pPr>
              <w:spacing w:line="400" w:lineRule="exact"/>
              <w:ind w:firstLine="480" w:firstLineChars="200"/>
              <w:rPr>
                <w:rFonts w:hAnsi="宋体" w:eastAsia="等线" w:cs="宋体"/>
                <w:color w:val="000000"/>
                <w:sz w:val="24"/>
                <w:szCs w:val="24"/>
              </w:rPr>
            </w:pPr>
            <w:r>
              <w:rPr>
                <w:rFonts w:hint="eastAsia" w:hAnsi="宋体" w:cs="宋体"/>
                <w:color w:val="000000"/>
                <w:sz w:val="24"/>
                <w:szCs w:val="24"/>
              </w:rPr>
              <w:t>课程目标定位</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课程标准制定</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课程教学计划</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课程实践教学计划</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课程教学资源建设（包含教学PPT、视频、教学参考资料、随堂测验、单元测验、作业、考试试卷等）</w:t>
            </w:r>
          </w:p>
          <w:p>
            <w:pPr>
              <w:spacing w:line="400" w:lineRule="exact"/>
              <w:ind w:firstLine="480" w:firstLineChars="200"/>
              <w:rPr>
                <w:rFonts w:hAnsi="宋体" w:cs="宋体"/>
                <w:color w:val="000000"/>
                <w:sz w:val="24"/>
                <w:szCs w:val="24"/>
              </w:rPr>
            </w:pPr>
            <w:r>
              <w:rPr>
                <w:rFonts w:hint="eastAsia" w:hAnsi="宋体" w:cs="宋体"/>
                <w:color w:val="000000"/>
                <w:sz w:val="24"/>
                <w:szCs w:val="24"/>
              </w:rPr>
              <w:t>课程考核评价标准</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3.诊改运行</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课程年度目标设定</w:t>
            </w:r>
          </w:p>
          <w:p>
            <w:pPr>
              <w:spacing w:line="400" w:lineRule="exact"/>
              <w:ind w:firstLine="480" w:firstLineChars="200"/>
              <w:rPr>
                <w:rFonts w:hAnsi="宋体" w:eastAsia="等线" w:cs="宋体"/>
                <w:color w:val="000000"/>
                <w:sz w:val="24"/>
                <w:szCs w:val="24"/>
              </w:rPr>
            </w:pPr>
            <w:r>
              <w:rPr>
                <w:rFonts w:hint="eastAsia" w:hAnsi="宋体" w:cs="宋体"/>
                <w:color w:val="000000"/>
                <w:sz w:val="24"/>
                <w:szCs w:val="24"/>
              </w:rPr>
              <w:t>课堂教学信息采集</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学生学习反馈评价</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督导反馈评价</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中期课程教学诊断</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课程年度数据采集</w:t>
            </w:r>
          </w:p>
          <w:p>
            <w:pPr>
              <w:spacing w:line="400" w:lineRule="exact"/>
              <w:ind w:firstLine="480" w:firstLineChars="200"/>
              <w:rPr>
                <w:rFonts w:hAnsi="宋体" w:cs="宋体"/>
                <w:color w:val="000000"/>
                <w:sz w:val="24"/>
                <w:szCs w:val="24"/>
              </w:rPr>
            </w:pPr>
            <w:r>
              <w:rPr>
                <w:rFonts w:hint="eastAsia" w:hAnsi="宋体" w:cs="宋体"/>
                <w:color w:val="000000"/>
                <w:sz w:val="24"/>
                <w:szCs w:val="24"/>
              </w:rPr>
              <w:t>课程年度诊改报告</w:t>
            </w:r>
          </w:p>
          <w:p>
            <w:pPr>
              <w:autoSpaceDE w:val="0"/>
              <w:autoSpaceDN w:val="0"/>
              <w:adjustRightInd w:val="0"/>
              <w:jc w:val="left"/>
              <w:rPr>
                <w:rFonts w:hAnsi="宋体"/>
                <w:b/>
                <w:bCs/>
                <w:sz w:val="24"/>
                <w:szCs w:val="28"/>
              </w:rPr>
            </w:pPr>
            <w:r>
              <w:rPr>
                <w:rFonts w:hint="eastAsia" w:hAnsi="宋体"/>
                <w:b/>
                <w:bCs/>
                <w:sz w:val="24"/>
                <w:szCs w:val="28"/>
              </w:rPr>
              <w:t>三、技术服务要求</w:t>
            </w:r>
            <w:r>
              <w:rPr>
                <w:rFonts w:hAnsi="宋体"/>
                <w:b/>
                <w:bCs/>
                <w:sz w:val="24"/>
                <w:szCs w:val="28"/>
              </w:rPr>
              <w:t xml:space="preserve"> </w:t>
            </w:r>
          </w:p>
          <w:p>
            <w:pPr>
              <w:autoSpaceDE w:val="0"/>
              <w:autoSpaceDN w:val="0"/>
              <w:adjustRightInd w:val="0"/>
              <w:ind w:firstLine="480" w:firstLineChars="200"/>
              <w:jc w:val="left"/>
              <w:rPr>
                <w:rFonts w:hAnsi="宋体" w:cs="宋体"/>
                <w:color w:val="000000"/>
                <w:sz w:val="24"/>
                <w:szCs w:val="24"/>
              </w:rPr>
            </w:pPr>
            <w:r>
              <w:rPr>
                <w:rFonts w:hAnsi="宋体" w:cs="宋体"/>
                <w:color w:val="000000"/>
                <w:sz w:val="24"/>
                <w:szCs w:val="24"/>
              </w:rPr>
              <w:t>1.</w:t>
            </w:r>
            <w:r>
              <w:rPr>
                <w:rFonts w:hint="eastAsia" w:hAnsi="宋体" w:cs="宋体"/>
                <w:color w:val="000000"/>
                <w:sz w:val="24"/>
                <w:szCs w:val="24"/>
              </w:rPr>
              <w:t>供应方必须响应采购人提出的本项目全部建设内容。</w:t>
            </w:r>
            <w:r>
              <w:rPr>
                <w:rFonts w:hAnsi="宋体" w:cs="宋体"/>
                <w:color w:val="000000"/>
                <w:sz w:val="24"/>
                <w:szCs w:val="24"/>
              </w:rPr>
              <w:t xml:space="preserve"> </w:t>
            </w:r>
          </w:p>
          <w:p>
            <w:pPr>
              <w:autoSpaceDE w:val="0"/>
              <w:autoSpaceDN w:val="0"/>
              <w:adjustRightInd w:val="0"/>
              <w:ind w:firstLine="480" w:firstLineChars="200"/>
              <w:jc w:val="left"/>
              <w:rPr>
                <w:rFonts w:hAnsi="宋体" w:eastAsia="等线" w:cs="宋体"/>
                <w:color w:val="000000"/>
                <w:sz w:val="24"/>
                <w:szCs w:val="24"/>
              </w:rPr>
            </w:pPr>
            <w:r>
              <w:rPr>
                <w:rFonts w:hint="eastAsia" w:hAnsi="宋体" w:cs="宋体"/>
                <w:color w:val="000000"/>
                <w:sz w:val="24"/>
                <w:szCs w:val="24"/>
              </w:rPr>
              <w:t>2.所有数据应能与我院“内部质量保证体系运行与诊改平台“对接。</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3</w:t>
            </w:r>
            <w:r>
              <w:rPr>
                <w:rFonts w:hAnsi="宋体" w:cs="宋体"/>
                <w:color w:val="000000"/>
                <w:sz w:val="24"/>
                <w:szCs w:val="24"/>
              </w:rPr>
              <w:t>.</w:t>
            </w:r>
            <w:r>
              <w:rPr>
                <w:rFonts w:hint="eastAsia" w:hAnsi="宋体" w:cs="宋体"/>
                <w:color w:val="000000"/>
                <w:sz w:val="24"/>
                <w:szCs w:val="24"/>
              </w:rPr>
              <w:t>所有建设资源需满足以下技术要求：</w:t>
            </w:r>
          </w:p>
          <w:p>
            <w:pPr>
              <w:spacing w:line="400" w:lineRule="exact"/>
              <w:ind w:firstLine="480" w:firstLineChars="200"/>
              <w:rPr>
                <w:rFonts w:hint="eastAsia" w:hAnsi="宋体" w:cs="宋体"/>
                <w:color w:val="000000"/>
                <w:sz w:val="24"/>
                <w:szCs w:val="24"/>
              </w:rPr>
            </w:pPr>
            <w:r>
              <w:rPr>
                <w:rFonts w:hint="eastAsia" w:hAnsi="宋体" w:cs="宋体"/>
                <w:color w:val="000000"/>
                <w:sz w:val="24"/>
                <w:szCs w:val="24"/>
              </w:rPr>
              <w:t>如涉及多媒体使用，媒体资源应满足如下要求：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rPr>
                      <w:rFonts w:hAnsi="宋体"/>
                      <w:sz w:val="21"/>
                      <w:szCs w:val="21"/>
                    </w:rPr>
                  </w:pPr>
                  <w:r>
                    <w:rPr>
                      <w:rFonts w:hint="eastAsia" w:hAnsi="宋体"/>
                      <w:sz w:val="21"/>
                      <w:szCs w:val="21"/>
                    </w:rPr>
                    <w:t>类型</w:t>
                  </w:r>
                </w:p>
              </w:tc>
              <w:tc>
                <w:tcPr>
                  <w:tcW w:w="7226" w:type="dxa"/>
                  <w:noWrap w:val="0"/>
                  <w:vAlign w:val="top"/>
                </w:tcPr>
                <w:p>
                  <w:pPr>
                    <w:spacing w:line="320" w:lineRule="exact"/>
                    <w:jc w:val="center"/>
                    <w:rPr>
                      <w:rFonts w:hAnsi="宋体"/>
                      <w:sz w:val="21"/>
                      <w:szCs w:val="21"/>
                    </w:rPr>
                  </w:pPr>
                  <w:r>
                    <w:rPr>
                      <w:rFonts w:hint="eastAsia" w:hAnsi="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jc w:val="center"/>
                    <w:rPr>
                      <w:rFonts w:hAnsi="宋体"/>
                      <w:sz w:val="21"/>
                      <w:szCs w:val="21"/>
                    </w:rPr>
                  </w:pPr>
                  <w:r>
                    <w:rPr>
                      <w:rFonts w:hint="eastAsia" w:hAnsi="宋体"/>
                      <w:color w:val="000000"/>
                      <w:sz w:val="21"/>
                      <w:szCs w:val="21"/>
                    </w:rPr>
                    <w:t>视频</w:t>
                  </w:r>
                </w:p>
              </w:tc>
              <w:tc>
                <w:tcPr>
                  <w:tcW w:w="7226" w:type="dxa"/>
                  <w:noWrap w:val="0"/>
                  <w:vAlign w:val="top"/>
                </w:tcPr>
                <w:p>
                  <w:pPr>
                    <w:spacing w:line="320" w:lineRule="exact"/>
                    <w:rPr>
                      <w:rFonts w:hAnsi="宋体"/>
                      <w:color w:val="000000"/>
                      <w:sz w:val="21"/>
                      <w:szCs w:val="21"/>
                    </w:rPr>
                  </w:pPr>
                  <w:r>
                    <w:rPr>
                      <w:rFonts w:hint="eastAsia" w:hAnsi="宋体"/>
                      <w:color w:val="000000"/>
                      <w:sz w:val="21"/>
                      <w:szCs w:val="21"/>
                    </w:rPr>
                    <w:t>1.视频压缩格式及技术参数</w:t>
                  </w:r>
                </w:p>
                <w:p>
                  <w:pPr>
                    <w:spacing w:line="320" w:lineRule="exact"/>
                    <w:rPr>
                      <w:rFonts w:hAnsi="宋体"/>
                      <w:color w:val="000000"/>
                      <w:sz w:val="21"/>
                      <w:szCs w:val="21"/>
                    </w:rPr>
                  </w:pPr>
                  <w:r>
                    <w:rPr>
                      <w:rFonts w:hint="eastAsia" w:hAnsi="宋体"/>
                      <w:color w:val="000000"/>
                      <w:sz w:val="21"/>
                      <w:szCs w:val="21"/>
                    </w:rPr>
                    <w:t>（1）视频压缩采用H.264/AVC (MPEG-4 Part10)编码、使用二次编码、不包含字幕的MP4格式。</w:t>
                  </w:r>
                </w:p>
                <w:p>
                  <w:pPr>
                    <w:spacing w:line="320" w:lineRule="exact"/>
                    <w:rPr>
                      <w:rFonts w:hAnsi="宋体"/>
                      <w:color w:val="000000"/>
                      <w:sz w:val="21"/>
                      <w:szCs w:val="21"/>
                    </w:rPr>
                  </w:pPr>
                  <w:r>
                    <w:rPr>
                      <w:rFonts w:hint="eastAsia" w:hAnsi="宋体"/>
                      <w:color w:val="000000"/>
                      <w:sz w:val="21"/>
                      <w:szCs w:val="21"/>
                    </w:rPr>
                    <w:t>（2）视频码流率：动态码流的最低码率不得低于1024Kb</w:t>
                  </w:r>
                </w:p>
                <w:p>
                  <w:pPr>
                    <w:spacing w:line="320" w:lineRule="exact"/>
                    <w:rPr>
                      <w:rFonts w:hAnsi="宋体"/>
                      <w:color w:val="000000"/>
                      <w:sz w:val="21"/>
                      <w:szCs w:val="21"/>
                    </w:rPr>
                  </w:pPr>
                  <w:r>
                    <w:rPr>
                      <w:rFonts w:hint="eastAsia" w:hAnsi="宋体"/>
                      <w:color w:val="000000"/>
                      <w:sz w:val="21"/>
                      <w:szCs w:val="21"/>
                    </w:rPr>
                    <w:t>（3）视频分辨率</w:t>
                  </w:r>
                </w:p>
                <w:p>
                  <w:pPr>
                    <w:spacing w:line="320" w:lineRule="exact"/>
                    <w:rPr>
                      <w:rFonts w:hAnsi="宋体"/>
                      <w:color w:val="000000"/>
                      <w:sz w:val="21"/>
                      <w:szCs w:val="21"/>
                    </w:rPr>
                  </w:pPr>
                  <w:r>
                    <w:rPr>
                      <w:rFonts w:hint="eastAsia" w:hAnsi="宋体"/>
                      <w:color w:val="000000"/>
                      <w:sz w:val="21"/>
                      <w:szCs w:val="21"/>
                    </w:rPr>
                    <w:t>前期采用高清16:9拍摄，请设定为 1280×720或1920×1080。</w:t>
                  </w:r>
                </w:p>
                <w:p>
                  <w:pPr>
                    <w:spacing w:line="320" w:lineRule="exact"/>
                    <w:rPr>
                      <w:rFonts w:hAnsi="宋体"/>
                      <w:color w:val="000000"/>
                      <w:sz w:val="21"/>
                      <w:szCs w:val="21"/>
                    </w:rPr>
                  </w:pPr>
                  <w:r>
                    <w:rPr>
                      <w:rFonts w:hint="eastAsia" w:hAnsi="宋体"/>
                      <w:color w:val="000000"/>
                      <w:sz w:val="21"/>
                      <w:szCs w:val="21"/>
                    </w:rPr>
                    <w:t>（4）视频画幅宽高比</w:t>
                  </w:r>
                </w:p>
                <w:p>
                  <w:pPr>
                    <w:spacing w:line="320" w:lineRule="exact"/>
                    <w:rPr>
                      <w:rFonts w:hAnsi="宋体"/>
                      <w:color w:val="000000"/>
                      <w:sz w:val="21"/>
                      <w:szCs w:val="21"/>
                    </w:rPr>
                  </w:pPr>
                  <w:r>
                    <w:rPr>
                      <w:rFonts w:hint="eastAsia" w:hAnsi="宋体"/>
                      <w:color w:val="000000"/>
                      <w:sz w:val="21"/>
                      <w:szCs w:val="21"/>
                    </w:rPr>
                    <w:t>视频画幅宽高比为16:9，分辨率设定为1280×720或1920×1080</w:t>
                  </w:r>
                </w:p>
                <w:p>
                  <w:pPr>
                    <w:spacing w:line="320" w:lineRule="exact"/>
                    <w:rPr>
                      <w:rFonts w:hAnsi="宋体"/>
                      <w:color w:val="000000"/>
                      <w:sz w:val="21"/>
                      <w:szCs w:val="21"/>
                    </w:rPr>
                  </w:pPr>
                  <w:r>
                    <w:rPr>
                      <w:rFonts w:hint="eastAsia" w:hAnsi="宋体"/>
                      <w:color w:val="000000"/>
                      <w:sz w:val="21"/>
                      <w:szCs w:val="21"/>
                    </w:rPr>
                    <w:t>（5）视频帧率为25帧/秒</w:t>
                  </w:r>
                </w:p>
                <w:p>
                  <w:pPr>
                    <w:spacing w:line="320" w:lineRule="exact"/>
                    <w:rPr>
                      <w:rFonts w:hAnsi="宋体"/>
                      <w:color w:val="000000"/>
                      <w:sz w:val="21"/>
                      <w:szCs w:val="21"/>
                    </w:rPr>
                  </w:pPr>
                  <w:r>
                    <w:rPr>
                      <w:rFonts w:hint="eastAsia" w:hAnsi="宋体"/>
                      <w:color w:val="000000"/>
                      <w:sz w:val="21"/>
                      <w:szCs w:val="21"/>
                    </w:rPr>
                    <w:t>（6）扫描方式采用逐行扫描</w:t>
                  </w:r>
                </w:p>
                <w:p>
                  <w:pPr>
                    <w:spacing w:line="320" w:lineRule="exact"/>
                    <w:rPr>
                      <w:rFonts w:hAnsi="宋体"/>
                      <w:color w:val="000000"/>
                      <w:sz w:val="21"/>
                      <w:szCs w:val="21"/>
                    </w:rPr>
                  </w:pPr>
                  <w:r>
                    <w:rPr>
                      <w:rFonts w:hint="eastAsia" w:hAnsi="宋体"/>
                      <w:color w:val="000000"/>
                      <w:sz w:val="21"/>
                      <w:szCs w:val="21"/>
                    </w:rPr>
                    <w:t>2.封装</w:t>
                  </w:r>
                </w:p>
                <w:p>
                  <w:pPr>
                    <w:spacing w:line="320" w:lineRule="exact"/>
                    <w:rPr>
                      <w:rFonts w:hAnsi="宋体"/>
                      <w:sz w:val="21"/>
                      <w:szCs w:val="21"/>
                    </w:rPr>
                  </w:pPr>
                  <w:r>
                    <w:rPr>
                      <w:rFonts w:hint="eastAsia" w:hAnsi="宋体"/>
                      <w:color w:val="000000"/>
                      <w:sz w:val="21"/>
                      <w:szCs w:val="21"/>
                    </w:rPr>
                    <w:t>视频采用MP4封装，字幕文件可采用SRT格式，中英文字幕需分成两个SRT文件。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jc w:val="center"/>
                    <w:rPr>
                      <w:rFonts w:hAnsi="宋体"/>
                      <w:sz w:val="21"/>
                      <w:szCs w:val="21"/>
                    </w:rPr>
                  </w:pPr>
                  <w:r>
                    <w:rPr>
                      <w:rFonts w:hint="eastAsia" w:hAnsi="宋体"/>
                      <w:color w:val="000000"/>
                      <w:sz w:val="21"/>
                      <w:szCs w:val="21"/>
                    </w:rPr>
                    <w:t>音频</w:t>
                  </w:r>
                </w:p>
              </w:tc>
              <w:tc>
                <w:tcPr>
                  <w:tcW w:w="7226" w:type="dxa"/>
                  <w:noWrap w:val="0"/>
                  <w:vAlign w:val="top"/>
                </w:tcPr>
                <w:p>
                  <w:pPr>
                    <w:spacing w:line="320" w:lineRule="exact"/>
                    <w:rPr>
                      <w:rFonts w:hAnsi="宋体"/>
                      <w:color w:val="000000"/>
                      <w:sz w:val="21"/>
                      <w:szCs w:val="21"/>
                    </w:rPr>
                  </w:pPr>
                  <w:r>
                    <w:rPr>
                      <w:rFonts w:hint="eastAsia" w:hAnsi="宋体"/>
                      <w:color w:val="000000"/>
                      <w:sz w:val="21"/>
                      <w:szCs w:val="21"/>
                    </w:rPr>
                    <w:t>1.音频压缩格式及技术参数</w:t>
                  </w:r>
                </w:p>
                <w:p>
                  <w:pPr>
                    <w:spacing w:line="320" w:lineRule="exact"/>
                    <w:rPr>
                      <w:rFonts w:hAnsi="宋体"/>
                      <w:color w:val="000000"/>
                      <w:sz w:val="21"/>
                      <w:szCs w:val="21"/>
                    </w:rPr>
                  </w:pPr>
                  <w:r>
                    <w:rPr>
                      <w:rFonts w:hint="eastAsia" w:hAnsi="宋体"/>
                      <w:color w:val="000000"/>
                      <w:sz w:val="21"/>
                      <w:szCs w:val="21"/>
                    </w:rPr>
                    <w:t>（1）音频压缩采用AAC(MPEG4 Part3)格式</w:t>
                  </w:r>
                </w:p>
                <w:p>
                  <w:pPr>
                    <w:spacing w:line="320" w:lineRule="exact"/>
                    <w:rPr>
                      <w:rFonts w:hAnsi="宋体"/>
                      <w:color w:val="000000"/>
                      <w:sz w:val="21"/>
                      <w:szCs w:val="21"/>
                    </w:rPr>
                  </w:pPr>
                  <w:r>
                    <w:rPr>
                      <w:rFonts w:hint="eastAsia" w:hAnsi="宋体"/>
                      <w:color w:val="000000"/>
                      <w:sz w:val="21"/>
                      <w:szCs w:val="21"/>
                    </w:rPr>
                    <w:t>（2）采样率48KHz</w:t>
                  </w:r>
                </w:p>
                <w:p>
                  <w:pPr>
                    <w:spacing w:line="320" w:lineRule="exact"/>
                    <w:rPr>
                      <w:rFonts w:hAnsi="宋体"/>
                      <w:sz w:val="21"/>
                      <w:szCs w:val="21"/>
                    </w:rPr>
                  </w:pPr>
                  <w:r>
                    <w:rPr>
                      <w:rFonts w:hint="eastAsia" w:hAnsi="宋体"/>
                      <w:color w:val="000000"/>
                      <w:sz w:val="21"/>
                      <w:szCs w:val="21"/>
                    </w:rPr>
                    <w:t>（3）音频码流率128Kbps (恒定)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jc w:val="center"/>
                    <w:rPr>
                      <w:rFonts w:hAnsi="宋体"/>
                      <w:sz w:val="21"/>
                      <w:szCs w:val="21"/>
                    </w:rPr>
                  </w:pPr>
                  <w:r>
                    <w:rPr>
                      <w:rFonts w:hint="eastAsia" w:hAnsi="宋体"/>
                      <w:color w:val="000000"/>
                      <w:sz w:val="21"/>
                      <w:szCs w:val="21"/>
                    </w:rPr>
                    <w:t>动画</w:t>
                  </w:r>
                </w:p>
              </w:tc>
              <w:tc>
                <w:tcPr>
                  <w:tcW w:w="7226" w:type="dxa"/>
                  <w:noWrap w:val="0"/>
                  <w:vAlign w:val="top"/>
                </w:tcPr>
                <w:p>
                  <w:pPr>
                    <w:spacing w:line="320" w:lineRule="exact"/>
                    <w:rPr>
                      <w:rFonts w:hAnsi="宋体"/>
                      <w:color w:val="000000"/>
                      <w:sz w:val="21"/>
                      <w:szCs w:val="21"/>
                    </w:rPr>
                  </w:pPr>
                  <w:r>
                    <w:rPr>
                      <w:rFonts w:hint="eastAsia" w:hAnsi="宋体"/>
                      <w:color w:val="000000"/>
                      <w:sz w:val="21"/>
                      <w:szCs w:val="21"/>
                    </w:rPr>
                    <w:t>1. 二维动画素材技术要求</w:t>
                  </w:r>
                </w:p>
                <w:p>
                  <w:pPr>
                    <w:spacing w:line="320" w:lineRule="exact"/>
                    <w:rPr>
                      <w:rFonts w:hAnsi="宋体"/>
                      <w:color w:val="000000"/>
                      <w:sz w:val="21"/>
                      <w:szCs w:val="21"/>
                    </w:rPr>
                  </w:pPr>
                  <w:r>
                    <w:rPr>
                      <w:rFonts w:hint="eastAsia" w:hAnsi="宋体"/>
                      <w:color w:val="000000"/>
                      <w:sz w:val="21"/>
                      <w:szCs w:val="21"/>
                    </w:rPr>
                    <w:t>（1）课件的开始要有醒目的标题，标题要能够体现课件所表现的内容。</w:t>
                  </w:r>
                </w:p>
                <w:p>
                  <w:pPr>
                    <w:spacing w:line="320" w:lineRule="exact"/>
                    <w:rPr>
                      <w:rFonts w:hAnsi="宋体"/>
                      <w:color w:val="000000"/>
                      <w:sz w:val="21"/>
                      <w:szCs w:val="21"/>
                    </w:rPr>
                  </w:pPr>
                  <w:r>
                    <w:rPr>
                      <w:rFonts w:hint="eastAsia" w:hAnsi="宋体"/>
                      <w:color w:val="000000"/>
                      <w:sz w:val="21"/>
                      <w:szCs w:val="21"/>
                    </w:rPr>
                    <w:t>（2）文字要醒目，避免使用与背景色相近的颜色。</w:t>
                  </w:r>
                </w:p>
                <w:p>
                  <w:pPr>
                    <w:spacing w:line="320" w:lineRule="exact"/>
                    <w:rPr>
                      <w:rFonts w:hAnsi="宋体"/>
                      <w:color w:val="000000"/>
                      <w:sz w:val="21"/>
                      <w:szCs w:val="21"/>
                    </w:rPr>
                  </w:pPr>
                  <w:r>
                    <w:rPr>
                      <w:rFonts w:hint="eastAsia" w:hAnsi="宋体"/>
                      <w:color w:val="000000"/>
                      <w:sz w:val="21"/>
                      <w:szCs w:val="21"/>
                    </w:rPr>
                    <w:t>（3）动画色彩造型应和谐，画面简洁清晰，界面友好，交互设计合理，操作简单。</w:t>
                  </w:r>
                </w:p>
                <w:p>
                  <w:pPr>
                    <w:spacing w:line="320" w:lineRule="exact"/>
                    <w:rPr>
                      <w:rFonts w:hAnsi="宋体"/>
                      <w:color w:val="000000"/>
                      <w:sz w:val="21"/>
                      <w:szCs w:val="21"/>
                    </w:rPr>
                  </w:pPr>
                  <w:r>
                    <w:rPr>
                      <w:rFonts w:hint="eastAsia" w:hAnsi="宋体"/>
                      <w:color w:val="000000"/>
                      <w:sz w:val="21"/>
                      <w:szCs w:val="21"/>
                    </w:rPr>
                    <w:t>（4）动画连续，节奏合适，帧和帧之间的关联性要强。</w:t>
                  </w:r>
                </w:p>
                <w:p>
                  <w:pPr>
                    <w:spacing w:line="320" w:lineRule="exact"/>
                    <w:rPr>
                      <w:rFonts w:hAnsi="宋体"/>
                      <w:color w:val="000000"/>
                      <w:sz w:val="21"/>
                      <w:szCs w:val="21"/>
                    </w:rPr>
                  </w:pPr>
                  <w:r>
                    <w:rPr>
                      <w:rFonts w:hint="eastAsia" w:hAnsi="宋体"/>
                      <w:color w:val="000000"/>
                      <w:sz w:val="21"/>
                      <w:szCs w:val="21"/>
                    </w:rPr>
                    <w:t>（5）如果有解说，配音应标准，无噪音，声音悦耳，音量适当，快慢适度，并提供控制解说的开关。</w:t>
                  </w:r>
                </w:p>
                <w:p>
                  <w:pPr>
                    <w:spacing w:line="320" w:lineRule="exact"/>
                    <w:rPr>
                      <w:rFonts w:hAnsi="宋体"/>
                      <w:color w:val="000000"/>
                      <w:sz w:val="21"/>
                      <w:szCs w:val="21"/>
                    </w:rPr>
                  </w:pPr>
                  <w:r>
                    <w:rPr>
                      <w:rFonts w:hint="eastAsia" w:hAnsi="宋体"/>
                      <w:color w:val="000000"/>
                      <w:sz w:val="21"/>
                      <w:szCs w:val="21"/>
                    </w:rPr>
                    <w:t>（6）静止画面时间不超过5秒钟。动画演播过程要流畅。</w:t>
                  </w:r>
                </w:p>
                <w:p>
                  <w:pPr>
                    <w:spacing w:line="320" w:lineRule="exact"/>
                    <w:rPr>
                      <w:rFonts w:hAnsi="宋体"/>
                      <w:color w:val="000000"/>
                      <w:sz w:val="21"/>
                      <w:szCs w:val="21"/>
                    </w:rPr>
                  </w:pPr>
                  <w:r>
                    <w:rPr>
                      <w:rFonts w:hint="eastAsia" w:hAnsi="宋体"/>
                      <w:color w:val="000000"/>
                      <w:sz w:val="21"/>
                      <w:szCs w:val="21"/>
                    </w:rPr>
                    <w:t>（7）一般情况下，应设置暂停与播放控制按钮，当动画时间较长时应设置进度拖动条。</w:t>
                  </w:r>
                </w:p>
                <w:p>
                  <w:pPr>
                    <w:spacing w:line="320" w:lineRule="exact"/>
                    <w:rPr>
                      <w:rFonts w:hAnsi="宋体"/>
                      <w:color w:val="000000"/>
                      <w:sz w:val="21"/>
                      <w:szCs w:val="21"/>
                    </w:rPr>
                  </w:pPr>
                  <w:r>
                    <w:rPr>
                      <w:rFonts w:hint="eastAsia" w:hAnsi="宋体"/>
                      <w:color w:val="000000"/>
                      <w:sz w:val="21"/>
                      <w:szCs w:val="21"/>
                    </w:rPr>
                    <w:t>（8）存储格式为swf、mp4两种格式。</w:t>
                  </w:r>
                </w:p>
                <w:p>
                  <w:pPr>
                    <w:spacing w:line="320" w:lineRule="exact"/>
                    <w:rPr>
                      <w:rFonts w:hAnsi="宋体"/>
                      <w:color w:val="000000"/>
                      <w:sz w:val="21"/>
                      <w:szCs w:val="21"/>
                    </w:rPr>
                  </w:pPr>
                  <w:r>
                    <w:rPr>
                      <w:rFonts w:hint="eastAsia" w:hAnsi="宋体"/>
                      <w:color w:val="000000"/>
                      <w:sz w:val="21"/>
                      <w:szCs w:val="21"/>
                    </w:rPr>
                    <w:t>（9）制作版本要求：Flash CS6及以上；脚本：AS3.0</w:t>
                  </w:r>
                </w:p>
                <w:p>
                  <w:pPr>
                    <w:spacing w:line="320" w:lineRule="exact"/>
                    <w:rPr>
                      <w:rFonts w:hAnsi="宋体"/>
                      <w:color w:val="000000"/>
                      <w:sz w:val="21"/>
                      <w:szCs w:val="21"/>
                    </w:rPr>
                  </w:pPr>
                  <w:r>
                    <w:rPr>
                      <w:rFonts w:hint="eastAsia" w:hAnsi="宋体"/>
                      <w:color w:val="000000"/>
                      <w:sz w:val="21"/>
                      <w:szCs w:val="21"/>
                    </w:rPr>
                    <w:t>2. 三维动画素材技术要求</w:t>
                  </w:r>
                </w:p>
                <w:p>
                  <w:pPr>
                    <w:spacing w:line="320" w:lineRule="exact"/>
                    <w:rPr>
                      <w:rFonts w:hAnsi="宋体"/>
                      <w:color w:val="000000"/>
                      <w:sz w:val="21"/>
                      <w:szCs w:val="21"/>
                    </w:rPr>
                  </w:pPr>
                  <w:r>
                    <w:rPr>
                      <w:rFonts w:hint="eastAsia" w:hAnsi="宋体"/>
                      <w:color w:val="000000"/>
                      <w:sz w:val="21"/>
                      <w:szCs w:val="21"/>
                    </w:rPr>
                    <w:t>（1）建议以pdf文档嵌入u3d格式三维动画资源文件方式；</w:t>
                  </w:r>
                </w:p>
                <w:p>
                  <w:pPr>
                    <w:spacing w:line="320" w:lineRule="exact"/>
                    <w:rPr>
                      <w:rFonts w:hAnsi="宋体"/>
                      <w:color w:val="000000"/>
                      <w:sz w:val="21"/>
                      <w:szCs w:val="21"/>
                    </w:rPr>
                  </w:pPr>
                  <w:r>
                    <w:rPr>
                      <w:rFonts w:hint="eastAsia" w:hAnsi="宋体"/>
                      <w:color w:val="000000"/>
                      <w:sz w:val="21"/>
                      <w:szCs w:val="21"/>
                    </w:rPr>
                    <w:t xml:space="preserve">（2）资源表现文字在pdf上显示； </w:t>
                  </w:r>
                </w:p>
                <w:p>
                  <w:pPr>
                    <w:spacing w:line="320" w:lineRule="exact"/>
                    <w:rPr>
                      <w:rFonts w:hAnsi="宋体"/>
                      <w:color w:val="000000"/>
                      <w:sz w:val="21"/>
                      <w:szCs w:val="21"/>
                    </w:rPr>
                  </w:pPr>
                  <w:r>
                    <w:rPr>
                      <w:rFonts w:hint="eastAsia" w:hAnsi="宋体"/>
                      <w:color w:val="000000"/>
                      <w:sz w:val="21"/>
                      <w:szCs w:val="21"/>
                    </w:rPr>
                    <w:t>（3）U3d动画色彩造型应和谐，画面简洁清晰，</w:t>
                  </w:r>
                </w:p>
                <w:p>
                  <w:pPr>
                    <w:spacing w:line="320" w:lineRule="exact"/>
                    <w:rPr>
                      <w:rFonts w:hAnsi="宋体"/>
                      <w:color w:val="000000"/>
                      <w:sz w:val="21"/>
                      <w:szCs w:val="21"/>
                    </w:rPr>
                  </w:pPr>
                  <w:r>
                    <w:rPr>
                      <w:rFonts w:hint="eastAsia" w:hAnsi="宋体"/>
                      <w:color w:val="000000"/>
                      <w:sz w:val="21"/>
                      <w:szCs w:val="21"/>
                    </w:rPr>
                    <w:t>（4）动画连续，节奏合适，帧和帧之间的关联性要强。</w:t>
                  </w:r>
                </w:p>
                <w:p>
                  <w:pPr>
                    <w:spacing w:line="320" w:lineRule="exact"/>
                    <w:rPr>
                      <w:rFonts w:hAnsi="宋体"/>
                      <w:color w:val="000000"/>
                      <w:sz w:val="21"/>
                      <w:szCs w:val="21"/>
                    </w:rPr>
                  </w:pPr>
                  <w:r>
                    <w:rPr>
                      <w:rFonts w:hint="eastAsia" w:hAnsi="宋体"/>
                      <w:color w:val="000000"/>
                      <w:sz w:val="21"/>
                      <w:szCs w:val="21"/>
                    </w:rPr>
                    <w:t>（5）如果有解说，配音应标准，无噪音，声音悦耳，音量适当，快慢适度</w:t>
                  </w:r>
                </w:p>
                <w:p>
                  <w:pPr>
                    <w:spacing w:line="320" w:lineRule="exact"/>
                    <w:rPr>
                      <w:rFonts w:hAnsi="宋体"/>
                      <w:color w:val="000000"/>
                      <w:sz w:val="21"/>
                      <w:szCs w:val="21"/>
                    </w:rPr>
                  </w:pPr>
                  <w:r>
                    <w:rPr>
                      <w:rFonts w:hint="eastAsia" w:hAnsi="宋体"/>
                      <w:color w:val="000000"/>
                      <w:sz w:val="21"/>
                      <w:szCs w:val="21"/>
                    </w:rPr>
                    <w:t>（6）静止画面时间不超过5秒钟。动画演播过程要流畅。</w:t>
                  </w:r>
                </w:p>
                <w:p>
                  <w:pPr>
                    <w:spacing w:line="320" w:lineRule="exact"/>
                    <w:rPr>
                      <w:rFonts w:hAnsi="宋体"/>
                      <w:color w:val="000000"/>
                      <w:sz w:val="21"/>
                      <w:szCs w:val="21"/>
                    </w:rPr>
                  </w:pPr>
                  <w:r>
                    <w:rPr>
                      <w:rFonts w:hint="eastAsia" w:hAnsi="宋体"/>
                      <w:color w:val="000000"/>
                      <w:sz w:val="21"/>
                      <w:szCs w:val="21"/>
                    </w:rPr>
                    <w:t>（7）存储格式为pdf格式。另提交MP4格式。</w:t>
                  </w:r>
                </w:p>
                <w:p>
                  <w:pPr>
                    <w:spacing w:line="320" w:lineRule="exact"/>
                    <w:rPr>
                      <w:rFonts w:hAnsi="宋体"/>
                      <w:sz w:val="21"/>
                      <w:szCs w:val="21"/>
                    </w:rPr>
                  </w:pPr>
                  <w:r>
                    <w:rPr>
                      <w:rFonts w:hint="eastAsia" w:hAnsi="宋体"/>
                      <w:color w:val="000000"/>
                      <w:sz w:val="21"/>
                      <w:szCs w:val="21"/>
                    </w:rPr>
                    <w:t>（8）生成u3d格式文件的原始文件，如3Dmax、Maya文件等。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jc w:val="center"/>
                    <w:rPr>
                      <w:rFonts w:hAnsi="宋体"/>
                      <w:sz w:val="21"/>
                      <w:szCs w:val="21"/>
                    </w:rPr>
                  </w:pPr>
                  <w:r>
                    <w:rPr>
                      <w:rFonts w:hint="eastAsia" w:hAnsi="宋体"/>
                      <w:color w:val="000000"/>
                      <w:sz w:val="21"/>
                      <w:szCs w:val="21"/>
                    </w:rPr>
                    <w:t>微课</w:t>
                  </w:r>
                </w:p>
              </w:tc>
              <w:tc>
                <w:tcPr>
                  <w:tcW w:w="7226" w:type="dxa"/>
                  <w:noWrap w:val="0"/>
                  <w:vAlign w:val="top"/>
                </w:tcPr>
                <w:p>
                  <w:pPr>
                    <w:spacing w:line="320" w:lineRule="exact"/>
                    <w:rPr>
                      <w:rFonts w:hAnsi="宋体"/>
                      <w:color w:val="000000"/>
                      <w:sz w:val="21"/>
                      <w:szCs w:val="21"/>
                    </w:rPr>
                  </w:pPr>
                  <w:r>
                    <w:rPr>
                      <w:rFonts w:hint="eastAsia" w:hAnsi="宋体"/>
                      <w:color w:val="000000"/>
                      <w:sz w:val="21"/>
                      <w:szCs w:val="21"/>
                    </w:rPr>
                    <w:t>1.微视频：时长在5-10分钟左右，要求图像清晰稳定、构图合理、声音清楚，符合中学生认知特点，能较全面真实反映教学情境，能充分展示教师良好教学风貌。视频片头应显示课题、作者和单位，主要教学环节有字幕提示。视频格式以MP4为主。</w:t>
                  </w:r>
                </w:p>
                <w:p>
                  <w:pPr>
                    <w:spacing w:line="320" w:lineRule="exact"/>
                    <w:rPr>
                      <w:rFonts w:hAnsi="宋体"/>
                      <w:color w:val="000000"/>
                      <w:sz w:val="21"/>
                      <w:szCs w:val="21"/>
                    </w:rPr>
                  </w:pPr>
                  <w:r>
                    <w:rPr>
                      <w:rFonts w:hint="eastAsia" w:hAnsi="宋体"/>
                      <w:color w:val="000000"/>
                      <w:sz w:val="21"/>
                      <w:szCs w:val="21"/>
                    </w:rPr>
                    <w:t>2.微课件：微课件是指在微课教学过程中所用到的多媒体教学课件等。可以整合到微视频中。视频内容根据具体学科教学内容和教学目标要求，反映主要教学内容。可以是教学内容分析与讲解，操作过程演示与示范等，根据实际需要，视频中可插入动画等媒体形式。</w:t>
                  </w:r>
                </w:p>
                <w:p>
                  <w:pPr>
                    <w:spacing w:line="320" w:lineRule="exact"/>
                    <w:rPr>
                      <w:rFonts w:hAnsi="宋体"/>
                      <w:color w:val="000000"/>
                      <w:sz w:val="21"/>
                      <w:szCs w:val="21"/>
                    </w:rPr>
                  </w:pPr>
                  <w:r>
                    <w:rPr>
                      <w:rFonts w:hint="eastAsia" w:hAnsi="宋体"/>
                      <w:color w:val="000000"/>
                      <w:sz w:val="21"/>
                      <w:szCs w:val="21"/>
                    </w:rPr>
                    <w:t>3.技术要求：</w:t>
                  </w:r>
                </w:p>
                <w:p>
                  <w:pPr>
                    <w:spacing w:line="320" w:lineRule="exact"/>
                    <w:rPr>
                      <w:rFonts w:hAnsi="宋体"/>
                      <w:color w:val="000000"/>
                      <w:sz w:val="21"/>
                      <w:szCs w:val="21"/>
                    </w:rPr>
                  </w:pPr>
                  <w:r>
                    <w:rPr>
                      <w:rFonts w:hint="eastAsia" w:hAnsi="宋体"/>
                      <w:color w:val="000000"/>
                      <w:sz w:val="21"/>
                      <w:szCs w:val="21"/>
                    </w:rPr>
                    <w:t>（1）教师在录制前应对授课过程中使用的多媒体课件（PPT、音视频、动画等）认真检查，确保其文字、格式规范，没有错误，符合拍摄要求。</w:t>
                  </w:r>
                </w:p>
                <w:p>
                  <w:pPr>
                    <w:spacing w:line="320" w:lineRule="exact"/>
                    <w:rPr>
                      <w:rFonts w:hAnsi="宋体"/>
                      <w:color w:val="000000"/>
                      <w:sz w:val="21"/>
                      <w:szCs w:val="21"/>
                    </w:rPr>
                  </w:pPr>
                  <w:r>
                    <w:rPr>
                      <w:rFonts w:hint="eastAsia" w:hAnsi="宋体"/>
                      <w:color w:val="000000"/>
                      <w:sz w:val="21"/>
                      <w:szCs w:val="21"/>
                    </w:rPr>
                    <w:t>（2）在拍摄时应针对实际情况选择适当的拍摄方式，确保成片中的多媒体演示及板书完整、清晰。</w:t>
                  </w:r>
                </w:p>
                <w:p>
                  <w:pPr>
                    <w:spacing w:line="320" w:lineRule="exact"/>
                    <w:rPr>
                      <w:rFonts w:hAnsi="宋体"/>
                      <w:color w:val="000000"/>
                      <w:sz w:val="21"/>
                      <w:szCs w:val="21"/>
                    </w:rPr>
                  </w:pPr>
                  <w:r>
                    <w:rPr>
                      <w:rFonts w:hint="eastAsia" w:hAnsi="宋体"/>
                      <w:color w:val="000000"/>
                      <w:sz w:val="21"/>
                      <w:szCs w:val="21"/>
                    </w:rPr>
                    <w:t>（3）片头与片尾</w:t>
                  </w:r>
                </w:p>
                <w:p>
                  <w:pPr>
                    <w:spacing w:line="320" w:lineRule="exact"/>
                    <w:ind w:firstLine="420" w:firstLineChars="200"/>
                    <w:rPr>
                      <w:rFonts w:hAnsi="宋体"/>
                      <w:color w:val="000000"/>
                      <w:sz w:val="21"/>
                      <w:szCs w:val="21"/>
                    </w:rPr>
                  </w:pPr>
                  <w:r>
                    <w:rPr>
                      <w:rFonts w:hint="eastAsia" w:hAnsi="宋体"/>
                      <w:color w:val="000000"/>
                      <w:sz w:val="21"/>
                      <w:szCs w:val="21"/>
                    </w:rPr>
                    <w:t>片头不超过10秒，应包括:学校LOGO、课程名称、讲次、主讲教师姓名、专业技术职务、单位等信息。</w:t>
                  </w:r>
                </w:p>
                <w:p>
                  <w:pPr>
                    <w:spacing w:line="320" w:lineRule="exact"/>
                    <w:ind w:firstLine="420" w:firstLineChars="200"/>
                    <w:rPr>
                      <w:rFonts w:hAnsi="宋体"/>
                      <w:color w:val="000000"/>
                      <w:sz w:val="21"/>
                      <w:szCs w:val="21"/>
                    </w:rPr>
                  </w:pPr>
                  <w:r>
                    <w:rPr>
                      <w:rFonts w:hint="eastAsia" w:hAnsi="宋体"/>
                      <w:color w:val="000000"/>
                      <w:sz w:val="21"/>
                      <w:szCs w:val="21"/>
                    </w:rPr>
                    <w:t>片尾包括版权单位、制作单位、录制时间等信息。</w:t>
                  </w:r>
                </w:p>
                <w:p>
                  <w:pPr>
                    <w:spacing w:line="320" w:lineRule="exact"/>
                    <w:rPr>
                      <w:rFonts w:hAnsi="宋体"/>
                      <w:color w:val="000000"/>
                      <w:sz w:val="21"/>
                      <w:szCs w:val="21"/>
                    </w:rPr>
                  </w:pPr>
                  <w:r>
                    <w:rPr>
                      <w:rFonts w:hint="eastAsia" w:hAnsi="宋体"/>
                      <w:color w:val="000000"/>
                      <w:sz w:val="21"/>
                      <w:szCs w:val="21"/>
                    </w:rPr>
                    <w:t>（4）技术指标</w:t>
                  </w:r>
                </w:p>
                <w:p>
                  <w:pPr>
                    <w:spacing w:line="320" w:lineRule="exact"/>
                    <w:rPr>
                      <w:rFonts w:hAnsi="宋体"/>
                      <w:color w:val="000000"/>
                      <w:sz w:val="21"/>
                      <w:szCs w:val="21"/>
                    </w:rPr>
                  </w:pPr>
                  <w:r>
                    <w:rPr>
                      <w:rFonts w:hint="eastAsia" w:hAnsi="宋体"/>
                      <w:color w:val="000000"/>
                      <w:sz w:val="21"/>
                      <w:szCs w:val="21"/>
                    </w:rPr>
                    <w:t>1）视频信号源</w:t>
                  </w:r>
                </w:p>
                <w:p>
                  <w:pPr>
                    <w:spacing w:line="320" w:lineRule="exact"/>
                    <w:rPr>
                      <w:rFonts w:hAnsi="宋体"/>
                      <w:color w:val="000000"/>
                      <w:sz w:val="21"/>
                      <w:szCs w:val="21"/>
                    </w:rPr>
                  </w:pPr>
                  <w:r>
                    <w:rPr>
                      <w:rFonts w:hint="eastAsia" w:hAnsi="宋体"/>
                      <w:color w:val="000000"/>
                      <w:sz w:val="21"/>
                      <w:szCs w:val="21"/>
                    </w:rPr>
                    <w:t>稳定性：全片图像同步性能稳定，无失步现象，CTL同步控制信号必须连续：图像无抖动跳跃，色彩无突变，编辑点处图像稳定。</w:t>
                  </w:r>
                </w:p>
                <w:p>
                  <w:pPr>
                    <w:spacing w:line="320" w:lineRule="exact"/>
                    <w:rPr>
                      <w:rFonts w:hAnsi="宋体"/>
                      <w:color w:val="000000"/>
                      <w:sz w:val="21"/>
                      <w:szCs w:val="21"/>
                    </w:rPr>
                  </w:pPr>
                  <w:r>
                    <w:rPr>
                      <w:rFonts w:hint="eastAsia" w:hAnsi="宋体"/>
                      <w:color w:val="000000"/>
                      <w:sz w:val="21"/>
                      <w:szCs w:val="21"/>
                    </w:rPr>
                    <w:t>信噪比：图像信噪比不低于55dB，无明显杂波。</w:t>
                  </w:r>
                </w:p>
                <w:p>
                  <w:pPr>
                    <w:spacing w:line="320" w:lineRule="exact"/>
                    <w:rPr>
                      <w:rFonts w:hAnsi="宋体"/>
                      <w:color w:val="000000"/>
                      <w:sz w:val="21"/>
                      <w:szCs w:val="21"/>
                    </w:rPr>
                  </w:pPr>
                  <w:r>
                    <w:rPr>
                      <w:rFonts w:hint="eastAsia" w:hAnsi="宋体"/>
                      <w:color w:val="000000"/>
                      <w:sz w:val="21"/>
                      <w:szCs w:val="21"/>
                    </w:rPr>
                    <w:t>色调：白平衡正确，无明显偏色，多机拍摄的镜头衔接处无明显色差。</w:t>
                  </w:r>
                </w:p>
                <w:p>
                  <w:pPr>
                    <w:spacing w:line="320" w:lineRule="exact"/>
                    <w:rPr>
                      <w:rFonts w:hAnsi="宋体"/>
                      <w:color w:val="000000"/>
                      <w:sz w:val="21"/>
                      <w:szCs w:val="21"/>
                    </w:rPr>
                  </w:pPr>
                  <w:r>
                    <w:rPr>
                      <w:rFonts w:hint="eastAsia" w:hAnsi="宋体"/>
                      <w:color w:val="000000"/>
                      <w:sz w:val="21"/>
                      <w:szCs w:val="21"/>
                    </w:rPr>
                    <w:t>视频电平：视频全讯号幅度为1Ⅴp-p，最大不超过1.1Ⅴ p-p。其中，消隐电平为0V时，白电平幅度0.7Ⅴp-p，同步信号-0.3V，色同步信号幅度0.3V p-p (以消隐线上下对称)，全片一致。</w:t>
                  </w:r>
                </w:p>
                <w:p>
                  <w:pPr>
                    <w:spacing w:line="320" w:lineRule="exact"/>
                    <w:rPr>
                      <w:rFonts w:hAnsi="宋体"/>
                      <w:color w:val="000000"/>
                      <w:sz w:val="21"/>
                      <w:szCs w:val="21"/>
                    </w:rPr>
                  </w:pPr>
                  <w:r>
                    <w:rPr>
                      <w:rFonts w:hint="eastAsia" w:hAnsi="宋体"/>
                      <w:color w:val="000000"/>
                      <w:sz w:val="21"/>
                      <w:szCs w:val="21"/>
                    </w:rPr>
                    <w:t>2）音频信号源</w:t>
                  </w:r>
                </w:p>
                <w:p>
                  <w:pPr>
                    <w:spacing w:line="320" w:lineRule="exact"/>
                    <w:rPr>
                      <w:rFonts w:hAnsi="宋体"/>
                      <w:color w:val="000000"/>
                      <w:sz w:val="21"/>
                      <w:szCs w:val="21"/>
                    </w:rPr>
                  </w:pPr>
                  <w:r>
                    <w:rPr>
                      <w:rFonts w:hint="eastAsia" w:hAnsi="宋体"/>
                      <w:color w:val="000000"/>
                      <w:sz w:val="21"/>
                      <w:szCs w:val="21"/>
                    </w:rPr>
                    <w:t>声道：中文内容音频信号记录于第1声道，音乐、音效、同期声记录于第2声道，若有其他文字解说记录于第3声道(如录音设备无第3声道,则录于第2声道)。</w:t>
                  </w:r>
                </w:p>
                <w:p>
                  <w:pPr>
                    <w:spacing w:line="320" w:lineRule="exact"/>
                    <w:rPr>
                      <w:rFonts w:hAnsi="宋体"/>
                      <w:color w:val="000000"/>
                      <w:sz w:val="21"/>
                      <w:szCs w:val="21"/>
                    </w:rPr>
                  </w:pPr>
                  <w:r>
                    <w:rPr>
                      <w:rFonts w:hint="eastAsia" w:hAnsi="宋体"/>
                      <w:color w:val="000000"/>
                      <w:sz w:val="21"/>
                      <w:szCs w:val="21"/>
                    </w:rPr>
                    <w:t>电平指标：-2db —— -8db声音应无明显失真、放音过冲、过弱。</w:t>
                  </w:r>
                </w:p>
                <w:p>
                  <w:pPr>
                    <w:spacing w:line="320" w:lineRule="exact"/>
                    <w:rPr>
                      <w:rFonts w:hAnsi="宋体"/>
                      <w:color w:val="000000"/>
                      <w:sz w:val="21"/>
                      <w:szCs w:val="21"/>
                    </w:rPr>
                  </w:pPr>
                  <w:r>
                    <w:rPr>
                      <w:rFonts w:hint="eastAsia" w:hAnsi="宋体"/>
                      <w:color w:val="000000"/>
                      <w:sz w:val="21"/>
                      <w:szCs w:val="21"/>
                    </w:rPr>
                    <w:t>音频信噪比不低于48db。</w:t>
                  </w:r>
                </w:p>
                <w:p>
                  <w:pPr>
                    <w:spacing w:line="320" w:lineRule="exact"/>
                    <w:rPr>
                      <w:rFonts w:hAnsi="宋体"/>
                      <w:color w:val="000000"/>
                      <w:sz w:val="21"/>
                      <w:szCs w:val="21"/>
                    </w:rPr>
                  </w:pPr>
                  <w:r>
                    <w:rPr>
                      <w:rFonts w:hint="eastAsia" w:hAnsi="宋体"/>
                      <w:color w:val="000000"/>
                      <w:sz w:val="21"/>
                      <w:szCs w:val="21"/>
                    </w:rPr>
                    <w:t>声音和画面要求同步，无交流声或其他杂音等缺陷。</w:t>
                  </w:r>
                </w:p>
                <w:p>
                  <w:pPr>
                    <w:spacing w:line="320" w:lineRule="exact"/>
                    <w:rPr>
                      <w:rFonts w:hAnsi="宋体"/>
                      <w:color w:val="000000"/>
                      <w:sz w:val="21"/>
                      <w:szCs w:val="21"/>
                    </w:rPr>
                  </w:pPr>
                  <w:r>
                    <w:rPr>
                      <w:rFonts w:hint="eastAsia" w:hAnsi="宋体"/>
                      <w:color w:val="000000"/>
                      <w:sz w:val="21"/>
                      <w:szCs w:val="21"/>
                    </w:rPr>
                    <w:t>伴音清晰、饱满、圆润，无失真、噪声杂音干扰、音量忽大忽小现象。解说声与现场声无明显比例失调，解说声与背景音乐无明显比例失调。</w:t>
                  </w:r>
                </w:p>
                <w:p>
                  <w:pPr>
                    <w:spacing w:line="320" w:lineRule="exact"/>
                    <w:rPr>
                      <w:rFonts w:hAnsi="宋体"/>
                      <w:sz w:val="21"/>
                      <w:szCs w:val="21"/>
                    </w:rPr>
                  </w:pPr>
                  <w:r>
                    <w:rPr>
                      <w:rFonts w:hint="eastAsia" w:hAnsi="宋体"/>
                      <w:color w:val="000000"/>
                      <w:sz w:val="21"/>
                      <w:szCs w:val="21"/>
                    </w:rPr>
                    <w:t>4.封装：采用MP4封装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20" w:lineRule="exact"/>
                    <w:jc w:val="center"/>
                    <w:rPr>
                      <w:rFonts w:hAnsi="宋体"/>
                      <w:sz w:val="21"/>
                      <w:szCs w:val="21"/>
                    </w:rPr>
                  </w:pPr>
                  <w:r>
                    <w:rPr>
                      <w:rFonts w:hint="eastAsia" w:hAnsi="宋体"/>
                      <w:color w:val="000000"/>
                      <w:sz w:val="21"/>
                      <w:szCs w:val="21"/>
                    </w:rPr>
                    <w:t>演示文稿PPT</w:t>
                  </w:r>
                </w:p>
              </w:tc>
              <w:tc>
                <w:tcPr>
                  <w:tcW w:w="7226" w:type="dxa"/>
                  <w:noWrap w:val="0"/>
                  <w:vAlign w:val="top"/>
                </w:tcPr>
                <w:p>
                  <w:pPr>
                    <w:spacing w:line="320" w:lineRule="exact"/>
                    <w:rPr>
                      <w:rFonts w:hAnsi="宋体"/>
                      <w:color w:val="000000"/>
                      <w:sz w:val="21"/>
                      <w:szCs w:val="21"/>
                    </w:rPr>
                  </w:pPr>
                  <w:r>
                    <w:rPr>
                      <w:rFonts w:hint="eastAsia" w:hAnsi="宋体"/>
                      <w:color w:val="000000"/>
                      <w:sz w:val="21"/>
                      <w:szCs w:val="21"/>
                    </w:rPr>
                    <w:t>1.制作原则及技术要求</w:t>
                  </w:r>
                </w:p>
                <w:p>
                  <w:pPr>
                    <w:spacing w:line="320" w:lineRule="exact"/>
                    <w:rPr>
                      <w:rFonts w:hAnsi="宋体"/>
                      <w:color w:val="000000"/>
                      <w:sz w:val="21"/>
                      <w:szCs w:val="21"/>
                    </w:rPr>
                  </w:pPr>
                  <w:r>
                    <w:rPr>
                      <w:rFonts w:hint="eastAsia" w:hAnsi="宋体"/>
                      <w:color w:val="000000"/>
                      <w:sz w:val="21"/>
                      <w:szCs w:val="21"/>
                    </w:rPr>
                    <w:t>（1）演示文稿（PPT）内容丰富，可集文字、图形、图像、声音以及视频等多种媒体元素于一体。</w:t>
                  </w:r>
                </w:p>
                <w:p>
                  <w:pPr>
                    <w:spacing w:line="320" w:lineRule="exact"/>
                    <w:rPr>
                      <w:rFonts w:hAnsi="宋体"/>
                      <w:color w:val="000000"/>
                      <w:sz w:val="21"/>
                      <w:szCs w:val="21"/>
                    </w:rPr>
                  </w:pPr>
                  <w:r>
                    <w:rPr>
                      <w:rFonts w:hint="eastAsia" w:hAnsi="宋体"/>
                      <w:color w:val="000000"/>
                      <w:sz w:val="21"/>
                      <w:szCs w:val="21"/>
                    </w:rPr>
                    <w:t>（2）页面设置要求符合高清格式比例，幻灯片大小为“全屏显示16：9”。</w:t>
                  </w:r>
                </w:p>
                <w:p>
                  <w:pPr>
                    <w:spacing w:line="320" w:lineRule="exact"/>
                    <w:rPr>
                      <w:rFonts w:hAnsi="宋体"/>
                      <w:color w:val="000000"/>
                      <w:sz w:val="21"/>
                      <w:szCs w:val="21"/>
                    </w:rPr>
                  </w:pPr>
                  <w:r>
                    <w:rPr>
                      <w:rFonts w:hint="eastAsia" w:hAnsi="宋体"/>
                      <w:color w:val="000000"/>
                      <w:sz w:val="21"/>
                      <w:szCs w:val="21"/>
                    </w:rPr>
                    <w:t>（3）整体效果应风格统一、色彩协调、美观大方。</w:t>
                  </w:r>
                </w:p>
                <w:p>
                  <w:pPr>
                    <w:spacing w:line="320" w:lineRule="exact"/>
                    <w:rPr>
                      <w:rFonts w:hAnsi="宋体"/>
                      <w:color w:val="000000"/>
                      <w:sz w:val="21"/>
                      <w:szCs w:val="21"/>
                    </w:rPr>
                  </w:pPr>
                  <w:r>
                    <w:rPr>
                      <w:rFonts w:hint="eastAsia" w:hAnsi="宋体"/>
                      <w:color w:val="000000"/>
                      <w:sz w:val="21"/>
                      <w:szCs w:val="21"/>
                    </w:rPr>
                    <w:t>2.字体与字号</w:t>
                  </w:r>
                </w:p>
                <w:p>
                  <w:pPr>
                    <w:spacing w:line="320" w:lineRule="exact"/>
                    <w:rPr>
                      <w:rFonts w:hAnsi="宋体"/>
                      <w:color w:val="000000"/>
                      <w:sz w:val="21"/>
                      <w:szCs w:val="21"/>
                    </w:rPr>
                  </w:pPr>
                  <w:r>
                    <w:rPr>
                      <w:rFonts w:hint="eastAsia" w:hAnsi="宋体"/>
                      <w:color w:val="000000"/>
                      <w:sz w:val="21"/>
                      <w:szCs w:val="21"/>
                    </w:rPr>
                    <w:t>字体与字号参照下表：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59"/>
                    <w:gridCol w:w="1409"/>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top"/>
                      </w:tcPr>
                      <w:p>
                        <w:pPr>
                          <w:spacing w:line="320" w:lineRule="exact"/>
                          <w:rPr>
                            <w:rFonts w:hAnsi="宋体"/>
                            <w:color w:val="000000"/>
                            <w:sz w:val="21"/>
                            <w:szCs w:val="21"/>
                          </w:rPr>
                        </w:pPr>
                        <w:r>
                          <w:rPr>
                            <w:rFonts w:hint="eastAsia" w:hAnsi="宋体"/>
                            <w:color w:val="000000"/>
                            <w:sz w:val="21"/>
                            <w:szCs w:val="21"/>
                          </w:rPr>
                          <w:t>类型</w:t>
                        </w:r>
                      </w:p>
                    </w:tc>
                    <w:tc>
                      <w:tcPr>
                        <w:tcW w:w="1559" w:type="dxa"/>
                        <w:noWrap w:val="0"/>
                        <w:vAlign w:val="top"/>
                      </w:tcPr>
                      <w:p>
                        <w:pPr>
                          <w:spacing w:line="320" w:lineRule="exact"/>
                          <w:rPr>
                            <w:rFonts w:hAnsi="宋体"/>
                            <w:color w:val="000000"/>
                            <w:sz w:val="21"/>
                            <w:szCs w:val="21"/>
                          </w:rPr>
                        </w:pPr>
                        <w:r>
                          <w:rPr>
                            <w:rFonts w:hint="eastAsia" w:hAnsi="宋体"/>
                            <w:color w:val="000000"/>
                            <w:sz w:val="21"/>
                            <w:szCs w:val="21"/>
                          </w:rPr>
                          <w:t>大标题</w:t>
                        </w:r>
                      </w:p>
                    </w:tc>
                    <w:tc>
                      <w:tcPr>
                        <w:tcW w:w="1409" w:type="dxa"/>
                        <w:noWrap w:val="0"/>
                        <w:vAlign w:val="top"/>
                      </w:tcPr>
                      <w:p>
                        <w:pPr>
                          <w:spacing w:line="320" w:lineRule="exact"/>
                          <w:rPr>
                            <w:rFonts w:hAnsi="宋体"/>
                            <w:color w:val="000000"/>
                            <w:sz w:val="21"/>
                            <w:szCs w:val="21"/>
                          </w:rPr>
                        </w:pPr>
                        <w:r>
                          <w:rPr>
                            <w:rFonts w:hint="eastAsia" w:hAnsi="宋体"/>
                            <w:color w:val="000000"/>
                            <w:sz w:val="21"/>
                            <w:szCs w:val="21"/>
                          </w:rPr>
                          <w:t>主讲信息</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一级标题</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正文</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top"/>
                      </w:tcPr>
                      <w:p>
                        <w:pPr>
                          <w:spacing w:line="320" w:lineRule="exact"/>
                          <w:rPr>
                            <w:rFonts w:hAnsi="宋体"/>
                            <w:color w:val="000000"/>
                            <w:sz w:val="21"/>
                            <w:szCs w:val="21"/>
                          </w:rPr>
                        </w:pPr>
                        <w:r>
                          <w:rPr>
                            <w:rFonts w:hint="eastAsia" w:hAnsi="宋体"/>
                            <w:color w:val="000000"/>
                            <w:sz w:val="21"/>
                            <w:szCs w:val="21"/>
                          </w:rPr>
                          <w:t>字体</w:t>
                        </w:r>
                      </w:p>
                    </w:tc>
                    <w:tc>
                      <w:tcPr>
                        <w:tcW w:w="1559" w:type="dxa"/>
                        <w:noWrap w:val="0"/>
                        <w:vAlign w:val="top"/>
                      </w:tcPr>
                      <w:p>
                        <w:pPr>
                          <w:spacing w:line="320" w:lineRule="exact"/>
                          <w:rPr>
                            <w:rFonts w:hAnsi="宋体"/>
                            <w:color w:val="000000"/>
                            <w:sz w:val="21"/>
                            <w:szCs w:val="21"/>
                          </w:rPr>
                        </w:pPr>
                        <w:r>
                          <w:rPr>
                            <w:rFonts w:hint="eastAsia" w:hAnsi="宋体"/>
                            <w:color w:val="000000"/>
                            <w:sz w:val="21"/>
                            <w:szCs w:val="21"/>
                          </w:rPr>
                          <w:t>大黑、时尚中黑、大隶书</w:t>
                        </w:r>
                      </w:p>
                    </w:tc>
                    <w:tc>
                      <w:tcPr>
                        <w:tcW w:w="1409" w:type="dxa"/>
                        <w:noWrap w:val="0"/>
                        <w:vAlign w:val="top"/>
                      </w:tcPr>
                      <w:p>
                        <w:pPr>
                          <w:spacing w:line="320" w:lineRule="exact"/>
                          <w:rPr>
                            <w:rFonts w:hAnsi="宋体"/>
                            <w:color w:val="000000"/>
                            <w:sz w:val="21"/>
                            <w:szCs w:val="21"/>
                          </w:rPr>
                        </w:pPr>
                        <w:r>
                          <w:rPr>
                            <w:rFonts w:hint="eastAsia" w:hAnsi="宋体"/>
                            <w:color w:val="000000"/>
                            <w:sz w:val="21"/>
                            <w:szCs w:val="21"/>
                          </w:rPr>
                          <w:t>黑体</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黑体、魏碑、大宋</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雅黑、中宋</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top"/>
                      </w:tcPr>
                      <w:p>
                        <w:pPr>
                          <w:spacing w:line="320" w:lineRule="exact"/>
                          <w:rPr>
                            <w:rFonts w:hAnsi="宋体"/>
                            <w:color w:val="000000"/>
                            <w:sz w:val="21"/>
                            <w:szCs w:val="21"/>
                          </w:rPr>
                        </w:pPr>
                        <w:r>
                          <w:rPr>
                            <w:rFonts w:hint="eastAsia" w:hAnsi="宋体"/>
                            <w:color w:val="000000"/>
                            <w:sz w:val="21"/>
                            <w:szCs w:val="21"/>
                          </w:rPr>
                          <w:t>字号</w:t>
                        </w:r>
                      </w:p>
                    </w:tc>
                    <w:tc>
                      <w:tcPr>
                        <w:tcW w:w="1559" w:type="dxa"/>
                        <w:noWrap w:val="0"/>
                        <w:vAlign w:val="top"/>
                      </w:tcPr>
                      <w:p>
                        <w:pPr>
                          <w:spacing w:line="320" w:lineRule="exact"/>
                          <w:rPr>
                            <w:rFonts w:hAnsi="宋体"/>
                            <w:color w:val="000000"/>
                            <w:sz w:val="21"/>
                            <w:szCs w:val="21"/>
                          </w:rPr>
                        </w:pPr>
                        <w:r>
                          <w:rPr>
                            <w:rFonts w:hint="eastAsia" w:hAnsi="宋体"/>
                            <w:color w:val="000000"/>
                            <w:sz w:val="21"/>
                            <w:szCs w:val="21"/>
                          </w:rPr>
                          <w:t>50～70磅</w:t>
                        </w:r>
                      </w:p>
                    </w:tc>
                    <w:tc>
                      <w:tcPr>
                        <w:tcW w:w="1409" w:type="dxa"/>
                        <w:noWrap w:val="0"/>
                        <w:vAlign w:val="top"/>
                      </w:tcPr>
                      <w:p>
                        <w:pPr>
                          <w:spacing w:line="320" w:lineRule="exact"/>
                          <w:rPr>
                            <w:rFonts w:hAnsi="宋体"/>
                            <w:color w:val="000000"/>
                            <w:sz w:val="21"/>
                            <w:szCs w:val="21"/>
                          </w:rPr>
                        </w:pPr>
                        <w:r>
                          <w:rPr>
                            <w:rFonts w:hint="eastAsia" w:hAnsi="宋体"/>
                            <w:color w:val="000000"/>
                            <w:sz w:val="21"/>
                            <w:szCs w:val="21"/>
                          </w:rPr>
                          <w:t>36～40磅</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36～40磅</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24～32磅</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top"/>
                      </w:tcPr>
                      <w:p>
                        <w:pPr>
                          <w:spacing w:line="320" w:lineRule="exact"/>
                          <w:rPr>
                            <w:rFonts w:hAnsi="宋体"/>
                            <w:color w:val="000000"/>
                            <w:sz w:val="21"/>
                            <w:szCs w:val="21"/>
                          </w:rPr>
                        </w:pPr>
                        <w:r>
                          <w:rPr>
                            <w:rFonts w:hint="eastAsia" w:hAnsi="宋体"/>
                            <w:color w:val="000000"/>
                            <w:sz w:val="21"/>
                            <w:szCs w:val="21"/>
                          </w:rPr>
                          <w:t>应用</w:t>
                        </w:r>
                      </w:p>
                    </w:tc>
                    <w:tc>
                      <w:tcPr>
                        <w:tcW w:w="1559" w:type="dxa"/>
                        <w:noWrap w:val="0"/>
                        <w:vAlign w:val="top"/>
                      </w:tcPr>
                      <w:p>
                        <w:pPr>
                          <w:spacing w:line="320" w:lineRule="exact"/>
                          <w:rPr>
                            <w:rFonts w:hAnsi="宋体"/>
                            <w:color w:val="000000"/>
                            <w:sz w:val="21"/>
                            <w:szCs w:val="21"/>
                          </w:rPr>
                        </w:pPr>
                        <w:r>
                          <w:rPr>
                            <w:rFonts w:hint="eastAsia" w:hAnsi="宋体"/>
                            <w:color w:val="000000"/>
                            <w:sz w:val="21"/>
                            <w:szCs w:val="21"/>
                          </w:rPr>
                          <w:t>上下左右居中</w:t>
                        </w:r>
                      </w:p>
                    </w:tc>
                    <w:tc>
                      <w:tcPr>
                        <w:tcW w:w="1409" w:type="dxa"/>
                        <w:noWrap w:val="0"/>
                        <w:vAlign w:val="top"/>
                      </w:tcPr>
                      <w:p>
                        <w:pPr>
                          <w:spacing w:line="320" w:lineRule="exact"/>
                          <w:rPr>
                            <w:rFonts w:hAnsi="宋体"/>
                            <w:color w:val="000000"/>
                            <w:sz w:val="21"/>
                            <w:szCs w:val="21"/>
                          </w:rPr>
                        </w:pPr>
                        <w:r>
                          <w:rPr>
                            <w:rFonts w:hint="eastAsia" w:hAnsi="宋体"/>
                            <w:color w:val="000000"/>
                            <w:sz w:val="21"/>
                            <w:szCs w:val="21"/>
                          </w:rPr>
                          <w:t>左右居中</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左右居中</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左对齐或居中</w:t>
                        </w:r>
                      </w:p>
                    </w:tc>
                    <w:tc>
                      <w:tcPr>
                        <w:tcW w:w="1236" w:type="dxa"/>
                        <w:noWrap w:val="0"/>
                        <w:vAlign w:val="top"/>
                      </w:tcPr>
                      <w:p>
                        <w:pPr>
                          <w:spacing w:line="320" w:lineRule="exact"/>
                          <w:rPr>
                            <w:rFonts w:hAnsi="宋体"/>
                            <w:color w:val="000000"/>
                            <w:sz w:val="21"/>
                            <w:szCs w:val="21"/>
                          </w:rPr>
                        </w:pPr>
                        <w:r>
                          <w:rPr>
                            <w:rFonts w:hint="eastAsia" w:hAnsi="宋体"/>
                            <w:color w:val="000000"/>
                            <w:sz w:val="21"/>
                            <w:szCs w:val="21"/>
                          </w:rPr>
                          <w:t>左右居中</w:t>
                        </w:r>
                      </w:p>
                    </w:tc>
                  </w:tr>
                </w:tbl>
                <w:p>
                  <w:pPr>
                    <w:spacing w:line="320" w:lineRule="exact"/>
                    <w:rPr>
                      <w:rFonts w:hAnsi="宋体"/>
                      <w:color w:val="000000"/>
                      <w:sz w:val="21"/>
                      <w:szCs w:val="21"/>
                    </w:rPr>
                  </w:pPr>
                  <w:r>
                    <w:rPr>
                      <w:rFonts w:hint="eastAsia" w:hAnsi="宋体"/>
                      <w:color w:val="000000"/>
                      <w:sz w:val="21"/>
                      <w:szCs w:val="21"/>
                    </w:rPr>
                    <w:t>3.版心与版式</w:t>
                  </w:r>
                </w:p>
                <w:p>
                  <w:pPr>
                    <w:spacing w:line="320" w:lineRule="exact"/>
                    <w:rPr>
                      <w:rFonts w:hAnsi="宋体"/>
                      <w:color w:val="000000"/>
                      <w:sz w:val="21"/>
                      <w:szCs w:val="21"/>
                    </w:rPr>
                  </w:pPr>
                  <w:r>
                    <w:rPr>
                      <w:rFonts w:hint="eastAsia" w:hAnsi="宋体"/>
                      <w:color w:val="000000"/>
                      <w:sz w:val="21"/>
                      <w:szCs w:val="21"/>
                    </w:rPr>
                    <w:t>每页四周留出空白，应避免内容顶到页面边缘，边界安全区域分别为左、右130像素内，上、下90像素内。</w:t>
                  </w:r>
                </w:p>
                <w:p>
                  <w:pPr>
                    <w:spacing w:line="320" w:lineRule="exact"/>
                    <w:rPr>
                      <w:rFonts w:hAnsi="宋体"/>
                      <w:color w:val="000000"/>
                      <w:sz w:val="21"/>
                      <w:szCs w:val="21"/>
                    </w:rPr>
                  </w:pPr>
                  <w:r>
                    <w:rPr>
                      <w:rFonts w:hint="eastAsia" w:hAnsi="宋体"/>
                      <w:color w:val="000000"/>
                      <w:sz w:val="21"/>
                      <w:szCs w:val="21"/>
                    </w:rPr>
                    <w:t>4.背景</w:t>
                  </w:r>
                </w:p>
                <w:p>
                  <w:pPr>
                    <w:spacing w:line="320" w:lineRule="exact"/>
                    <w:rPr>
                      <w:rFonts w:hAnsi="宋体"/>
                      <w:color w:val="000000"/>
                      <w:sz w:val="21"/>
                      <w:szCs w:val="21"/>
                    </w:rPr>
                  </w:pPr>
                  <w:r>
                    <w:rPr>
                      <w:rFonts w:hint="eastAsia" w:hAnsi="宋体"/>
                      <w:color w:val="000000"/>
                      <w:sz w:val="21"/>
                      <w:szCs w:val="21"/>
                    </w:rPr>
                    <w:t>（1）背景色以简洁适中饱和度为主（颜色保持在一至两种色系内）；</w:t>
                  </w:r>
                </w:p>
                <w:p>
                  <w:pPr>
                    <w:spacing w:line="320" w:lineRule="exact"/>
                    <w:rPr>
                      <w:rFonts w:hAnsi="宋体"/>
                      <w:color w:val="000000"/>
                      <w:sz w:val="21"/>
                      <w:szCs w:val="21"/>
                    </w:rPr>
                  </w:pPr>
                  <w:r>
                    <w:rPr>
                      <w:rFonts w:hint="eastAsia" w:hAnsi="宋体"/>
                      <w:color w:val="000000"/>
                      <w:sz w:val="21"/>
                      <w:szCs w:val="21"/>
                    </w:rPr>
                    <w:t>（2）背景和场景不宜变化过多；</w:t>
                  </w:r>
                </w:p>
                <w:p>
                  <w:pPr>
                    <w:spacing w:line="320" w:lineRule="exact"/>
                    <w:rPr>
                      <w:rFonts w:hAnsi="宋体"/>
                      <w:color w:val="000000"/>
                      <w:sz w:val="21"/>
                      <w:szCs w:val="21"/>
                    </w:rPr>
                  </w:pPr>
                  <w:r>
                    <w:rPr>
                      <w:rFonts w:hint="eastAsia" w:hAnsi="宋体"/>
                      <w:color w:val="000000"/>
                      <w:sz w:val="21"/>
                      <w:szCs w:val="21"/>
                    </w:rPr>
                    <w:t>（3）文字、图形等内容应与背景对比醒目。</w:t>
                  </w:r>
                </w:p>
                <w:p>
                  <w:pPr>
                    <w:spacing w:line="320" w:lineRule="exact"/>
                    <w:rPr>
                      <w:rFonts w:hAnsi="宋体"/>
                      <w:color w:val="000000"/>
                      <w:sz w:val="21"/>
                      <w:szCs w:val="21"/>
                    </w:rPr>
                  </w:pPr>
                  <w:r>
                    <w:rPr>
                      <w:rFonts w:hint="eastAsia" w:hAnsi="宋体"/>
                      <w:color w:val="000000"/>
                      <w:sz w:val="21"/>
                      <w:szCs w:val="21"/>
                    </w:rPr>
                    <w:t>5. 色调</w:t>
                  </w:r>
                </w:p>
                <w:p>
                  <w:pPr>
                    <w:spacing w:line="320" w:lineRule="exact"/>
                    <w:rPr>
                      <w:rFonts w:hAnsi="宋体"/>
                      <w:color w:val="000000"/>
                      <w:sz w:val="21"/>
                      <w:szCs w:val="21"/>
                    </w:rPr>
                  </w:pPr>
                  <w:r>
                    <w:rPr>
                      <w:rFonts w:hint="eastAsia" w:hAnsi="宋体"/>
                      <w:color w:val="000000"/>
                      <w:sz w:val="21"/>
                      <w:szCs w:val="21"/>
                    </w:rPr>
                    <w:t>（1）色彩的选配应与课程科目相吻合；</w:t>
                  </w:r>
                </w:p>
                <w:p>
                  <w:pPr>
                    <w:spacing w:line="320" w:lineRule="exact"/>
                    <w:rPr>
                      <w:rFonts w:hAnsi="宋体"/>
                      <w:color w:val="000000"/>
                      <w:sz w:val="21"/>
                      <w:szCs w:val="21"/>
                    </w:rPr>
                  </w:pPr>
                  <w:r>
                    <w:rPr>
                      <w:rFonts w:hint="eastAsia" w:hAnsi="宋体"/>
                      <w:color w:val="000000"/>
                      <w:sz w:val="21"/>
                      <w:szCs w:val="21"/>
                    </w:rPr>
                    <w:t>（2）每一短视频或一系列短视频在配色上应体现出系统性，可选一种主色调再加上一至两种辅助色进行匹配；</w:t>
                  </w:r>
                </w:p>
                <w:p>
                  <w:pPr>
                    <w:spacing w:line="320" w:lineRule="exact"/>
                    <w:rPr>
                      <w:rFonts w:hAnsi="宋体"/>
                      <w:color w:val="000000"/>
                      <w:sz w:val="21"/>
                      <w:szCs w:val="21"/>
                    </w:rPr>
                  </w:pPr>
                  <w:r>
                    <w:rPr>
                      <w:rFonts w:hint="eastAsia" w:hAnsi="宋体"/>
                      <w:color w:val="000000"/>
                      <w:sz w:val="21"/>
                      <w:szCs w:val="21"/>
                    </w:rPr>
                    <w:t>（3）同一屏里文字不宜超出三种颜色。</w:t>
                  </w:r>
                </w:p>
                <w:p>
                  <w:pPr>
                    <w:spacing w:line="320" w:lineRule="exact"/>
                    <w:rPr>
                      <w:rFonts w:hAnsi="宋体"/>
                      <w:color w:val="000000"/>
                      <w:sz w:val="21"/>
                      <w:szCs w:val="21"/>
                    </w:rPr>
                  </w:pPr>
                  <w:r>
                    <w:rPr>
                      <w:rFonts w:hint="eastAsia" w:hAnsi="宋体"/>
                      <w:color w:val="000000"/>
                      <w:sz w:val="21"/>
                      <w:szCs w:val="21"/>
                    </w:rPr>
                    <w:t>6.字距与行距</w:t>
                  </w:r>
                </w:p>
                <w:p>
                  <w:pPr>
                    <w:spacing w:line="320" w:lineRule="exact"/>
                    <w:rPr>
                      <w:rFonts w:hAnsi="宋体"/>
                      <w:color w:val="000000"/>
                      <w:sz w:val="21"/>
                      <w:szCs w:val="21"/>
                    </w:rPr>
                  </w:pPr>
                  <w:r>
                    <w:rPr>
                      <w:rFonts w:hint="eastAsia" w:hAnsi="宋体"/>
                      <w:color w:val="000000"/>
                      <w:sz w:val="21"/>
                      <w:szCs w:val="21"/>
                    </w:rPr>
                    <w:t>（1）标题：在文字少的情形下，字距放宽一倍体现舒展性；</w:t>
                  </w:r>
                </w:p>
                <w:p>
                  <w:pPr>
                    <w:spacing w:line="320" w:lineRule="exact"/>
                    <w:rPr>
                      <w:rFonts w:hAnsi="宋体"/>
                      <w:color w:val="000000"/>
                      <w:sz w:val="21"/>
                      <w:szCs w:val="21"/>
                    </w:rPr>
                  </w:pPr>
                  <w:r>
                    <w:rPr>
                      <w:rFonts w:hint="eastAsia" w:hAnsi="宋体"/>
                      <w:color w:val="000000"/>
                      <w:sz w:val="21"/>
                      <w:szCs w:val="21"/>
                    </w:rPr>
                    <w:t>（2）正文：行距使用1行或1.5行，便于阅读。</w:t>
                  </w:r>
                </w:p>
                <w:p>
                  <w:pPr>
                    <w:spacing w:line="320" w:lineRule="exact"/>
                    <w:rPr>
                      <w:rFonts w:hAnsi="宋体"/>
                      <w:color w:val="000000"/>
                      <w:sz w:val="21"/>
                      <w:szCs w:val="21"/>
                    </w:rPr>
                  </w:pPr>
                  <w:r>
                    <w:rPr>
                      <w:rFonts w:hint="eastAsia" w:hAnsi="宋体"/>
                      <w:color w:val="000000"/>
                      <w:sz w:val="21"/>
                      <w:szCs w:val="21"/>
                    </w:rPr>
                    <w:t>7. 配图</w:t>
                  </w:r>
                </w:p>
                <w:p>
                  <w:pPr>
                    <w:spacing w:line="320" w:lineRule="exact"/>
                    <w:rPr>
                      <w:rFonts w:hAnsi="宋体"/>
                      <w:color w:val="000000"/>
                      <w:sz w:val="21"/>
                      <w:szCs w:val="21"/>
                    </w:rPr>
                  </w:pPr>
                  <w:r>
                    <w:rPr>
                      <w:rFonts w:hint="eastAsia" w:hAnsi="宋体"/>
                      <w:color w:val="000000"/>
                      <w:sz w:val="21"/>
                      <w:szCs w:val="21"/>
                    </w:rPr>
                    <w:t>（1）图像应清晰并能反映出内容主题思想，分辨率应上72dpi以上；</w:t>
                  </w:r>
                </w:p>
                <w:p>
                  <w:pPr>
                    <w:spacing w:line="320" w:lineRule="exact"/>
                    <w:rPr>
                      <w:rFonts w:hAnsi="宋体"/>
                      <w:color w:val="000000"/>
                      <w:sz w:val="21"/>
                      <w:szCs w:val="21"/>
                    </w:rPr>
                  </w:pPr>
                  <w:r>
                    <w:rPr>
                      <w:rFonts w:hint="eastAsia" w:hAnsi="宋体"/>
                      <w:color w:val="000000"/>
                      <w:sz w:val="21"/>
                      <w:szCs w:val="21"/>
                    </w:rPr>
                    <w:t>（2）图片不可加长或压窄，防止变形；</w:t>
                  </w:r>
                </w:p>
                <w:p>
                  <w:pPr>
                    <w:spacing w:line="320" w:lineRule="exact"/>
                    <w:rPr>
                      <w:rFonts w:hAnsi="宋体"/>
                      <w:color w:val="000000"/>
                      <w:sz w:val="21"/>
                      <w:szCs w:val="21"/>
                    </w:rPr>
                  </w:pPr>
                  <w:r>
                    <w:rPr>
                      <w:rFonts w:hint="eastAsia" w:hAnsi="宋体"/>
                      <w:color w:val="000000"/>
                      <w:sz w:val="21"/>
                      <w:szCs w:val="21"/>
                    </w:rPr>
                    <w:t>（3）图形使用应通俗易懂，便于理解。</w:t>
                  </w:r>
                </w:p>
                <w:p>
                  <w:pPr>
                    <w:spacing w:line="320" w:lineRule="exact"/>
                    <w:rPr>
                      <w:rFonts w:hAnsi="宋体"/>
                      <w:color w:val="000000"/>
                      <w:sz w:val="21"/>
                      <w:szCs w:val="21"/>
                    </w:rPr>
                  </w:pPr>
                  <w:r>
                    <w:rPr>
                      <w:rFonts w:hint="eastAsia" w:hAnsi="宋体"/>
                      <w:color w:val="000000"/>
                      <w:sz w:val="21"/>
                      <w:szCs w:val="21"/>
                    </w:rPr>
                    <w:t>8. 修饰</w:t>
                  </w:r>
                </w:p>
                <w:p>
                  <w:pPr>
                    <w:spacing w:line="320" w:lineRule="exact"/>
                    <w:rPr>
                      <w:rFonts w:hAnsi="宋体"/>
                      <w:color w:val="000000"/>
                      <w:sz w:val="21"/>
                      <w:szCs w:val="21"/>
                    </w:rPr>
                  </w:pPr>
                  <w:r>
                    <w:rPr>
                      <w:rFonts w:hint="eastAsia" w:hAnsi="宋体"/>
                      <w:color w:val="000000"/>
                      <w:sz w:val="21"/>
                      <w:szCs w:val="21"/>
                    </w:rPr>
                    <w:t>（1）细线条的运用比粗线条更显精致；</w:t>
                  </w:r>
                </w:p>
                <w:p>
                  <w:pPr>
                    <w:spacing w:line="320" w:lineRule="exact"/>
                    <w:rPr>
                      <w:rFonts w:hAnsi="宋体"/>
                      <w:color w:val="000000"/>
                      <w:sz w:val="21"/>
                      <w:szCs w:val="21"/>
                    </w:rPr>
                  </w:pPr>
                  <w:r>
                    <w:rPr>
                      <w:rFonts w:hint="eastAsia" w:hAnsi="宋体"/>
                      <w:color w:val="000000"/>
                      <w:sz w:val="21"/>
                      <w:szCs w:val="21"/>
                    </w:rPr>
                    <w:t>（2）扁平式的装饰更接近时代审美；</w:t>
                  </w:r>
                </w:p>
                <w:p>
                  <w:pPr>
                    <w:spacing w:line="320" w:lineRule="exact"/>
                    <w:rPr>
                      <w:rFonts w:hAnsi="宋体"/>
                      <w:sz w:val="21"/>
                      <w:szCs w:val="21"/>
                    </w:rPr>
                  </w:pPr>
                  <w:r>
                    <w:rPr>
                      <w:rFonts w:hint="eastAsia" w:hAnsi="宋体"/>
                      <w:color w:val="000000"/>
                      <w:sz w:val="21"/>
                      <w:szCs w:val="21"/>
                    </w:rPr>
                    <w:t>（3）有趣味的装饰通常更能吸引人。</w:t>
                  </w:r>
                </w:p>
              </w:tc>
            </w:tr>
          </w:tbl>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65" w:type="dxa"/>
            <w:noWrap w:val="0"/>
            <w:vAlign w:val="center"/>
          </w:tcPr>
          <w:p>
            <w:pPr>
              <w:spacing w:line="360" w:lineRule="exact"/>
              <w:jc w:val="center"/>
              <w:rPr>
                <w:rFonts w:hint="eastAsia" w:hAnsi="宋体"/>
                <w:sz w:val="24"/>
                <w:szCs w:val="24"/>
              </w:rPr>
            </w:pPr>
            <w:r>
              <w:rPr>
                <w:rFonts w:hint="eastAsia" w:hAnsi="宋体"/>
                <w:sz w:val="24"/>
                <w:szCs w:val="24"/>
              </w:rPr>
              <w:t>项目其他需求</w:t>
            </w:r>
          </w:p>
        </w:tc>
        <w:tc>
          <w:tcPr>
            <w:tcW w:w="8250" w:type="dxa"/>
            <w:noWrap w:val="0"/>
            <w:vAlign w:val="center"/>
          </w:tcPr>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1．供应商应为采购人提供备份工具及介质，提供技术服务包及产品说明，至少提供三年质保，三年免费后续服务，包含提供及时的服务请求响应、专业资源库升级，教学资源的局部调整。</w:t>
            </w:r>
          </w:p>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 xml:space="preserve">2．驻校服务：在项目建设期间，供应商需派专业技术人员提供驻校服务，便于与专业教师沟通交流，领会教师资源开发意图，制作方到场与教师面对面进行沟通、制作、修改。 </w:t>
            </w:r>
          </w:p>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 xml:space="preserve">3．版权要求：所有课程建设内容，所有权归四川铁道职业学院所有，未经允许供应商不得以任何形式向第三方提供。供应商必须为采购人制作属于采购人自有版权的信息化产品，且所制作的全部资源不能显示与非采购人无关的信息。同时，供应商应协助采购人为软件产品等申报相关教育教学项目评优工作。 </w:t>
            </w:r>
          </w:p>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4．供应商应就该项目完整投标，否则为无效标。即：本项目报价为总包价</w:t>
            </w:r>
            <w:r>
              <w:rPr>
                <w:rFonts w:hAnsi="宋体" w:cs="宋体"/>
                <w:color w:val="000000"/>
                <w:sz w:val="24"/>
                <w:szCs w:val="24"/>
              </w:rPr>
              <w:t>,</w:t>
            </w:r>
            <w:r>
              <w:rPr>
                <w:rFonts w:hint="eastAsia" w:hAnsi="宋体" w:cs="宋体"/>
                <w:color w:val="000000"/>
                <w:sz w:val="24"/>
                <w:szCs w:val="24"/>
              </w:rPr>
              <w:t xml:space="preserve">包括各类资源建设、验收所产生的费用等。 </w:t>
            </w:r>
          </w:p>
          <w:p>
            <w:pPr>
              <w:autoSpaceDE w:val="0"/>
              <w:autoSpaceDN w:val="0"/>
              <w:adjustRightInd w:val="0"/>
              <w:ind w:firstLine="480" w:firstLineChars="200"/>
              <w:jc w:val="left"/>
              <w:rPr>
                <w:rFonts w:hint="eastAsia" w:hAnsi="宋体" w:cs="宋体"/>
                <w:sz w:val="24"/>
                <w:szCs w:val="24"/>
              </w:rPr>
            </w:pPr>
            <w:r>
              <w:rPr>
                <w:rFonts w:hint="eastAsia" w:hAnsi="宋体" w:cs="宋体"/>
                <w:sz w:val="24"/>
                <w:szCs w:val="24"/>
              </w:rPr>
              <w:t>5．交货期：合同签订后15个工作日以内。</w:t>
            </w:r>
          </w:p>
          <w:p>
            <w:pPr>
              <w:autoSpaceDE w:val="0"/>
              <w:autoSpaceDN w:val="0"/>
              <w:adjustRightInd w:val="0"/>
              <w:ind w:firstLine="480" w:firstLineChars="200"/>
              <w:jc w:val="left"/>
              <w:rPr>
                <w:rFonts w:hint="eastAsia" w:hAnsi="宋体" w:cs="宋体"/>
                <w:color w:val="000000"/>
                <w:sz w:val="24"/>
                <w:szCs w:val="24"/>
              </w:rPr>
            </w:pPr>
            <w:r>
              <w:rPr>
                <w:rFonts w:hint="eastAsia" w:hAnsi="宋体" w:cs="宋体"/>
                <w:color w:val="000000"/>
                <w:sz w:val="24"/>
                <w:szCs w:val="24"/>
              </w:rPr>
              <w:t>6．交货地点：采购人指定地点。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65" w:type="dxa"/>
            <w:noWrap w:val="0"/>
            <w:vAlign w:val="center"/>
          </w:tcPr>
          <w:p>
            <w:pPr>
              <w:spacing w:line="360" w:lineRule="exact"/>
              <w:jc w:val="center"/>
              <w:rPr>
                <w:rFonts w:hint="eastAsia" w:hAnsi="宋体"/>
                <w:sz w:val="24"/>
                <w:szCs w:val="24"/>
              </w:rPr>
            </w:pPr>
            <w:r>
              <w:rPr>
                <w:rFonts w:hint="eastAsia" w:hAnsi="宋体"/>
                <w:sz w:val="24"/>
                <w:szCs w:val="24"/>
              </w:rPr>
              <w:t xml:space="preserve"> 验收内容及标准</w:t>
            </w:r>
          </w:p>
        </w:tc>
        <w:tc>
          <w:tcPr>
            <w:tcW w:w="8250" w:type="dxa"/>
            <w:noWrap w:val="0"/>
            <w:vAlign w:val="center"/>
          </w:tcPr>
          <w:p>
            <w:pPr>
              <w:ind w:firstLine="480" w:firstLineChars="200"/>
              <w:rPr>
                <w:rFonts w:hint="eastAsia" w:hAnsi="宋体"/>
                <w:color w:val="000000"/>
                <w:sz w:val="24"/>
              </w:rPr>
            </w:pPr>
            <w:r>
              <w:rPr>
                <w:rFonts w:hint="eastAsia" w:hAnsi="宋体"/>
                <w:color w:val="000000"/>
                <w:sz w:val="24"/>
              </w:rPr>
              <w:t>1．验收内容：严格按照标书“第四章 招标项目技术、商务及其他要求”技术要求进行逐条验收；严格按照政府采购相关法律法规以及</w:t>
            </w:r>
            <w:r>
              <w:rPr>
                <w:rFonts w:hAnsi="宋体"/>
                <w:color w:val="000000"/>
                <w:sz w:val="24"/>
              </w:rPr>
              <w:t>《四川省政府采购项目需求论证和履约验收管理办法》</w:t>
            </w:r>
            <w:r>
              <w:rPr>
                <w:rFonts w:hint="eastAsia" w:hAnsi="宋体"/>
                <w:color w:val="000000"/>
                <w:sz w:val="24"/>
              </w:rPr>
              <w:t>（川财采〔2015〕32号）中的相关规定、合同条款的要求进行验收。</w:t>
            </w:r>
          </w:p>
          <w:p>
            <w:pPr>
              <w:ind w:firstLine="480" w:firstLineChars="200"/>
              <w:rPr>
                <w:rFonts w:hint="eastAsia" w:hAnsi="宋体"/>
                <w:color w:val="000000"/>
                <w:sz w:val="24"/>
              </w:rPr>
            </w:pPr>
            <w:r>
              <w:rPr>
                <w:rFonts w:hint="eastAsia" w:hAnsi="宋体"/>
                <w:color w:val="000000"/>
                <w:sz w:val="24"/>
              </w:rPr>
              <w:t>2．验收方法：组成项目验收小组进行成果验收，签署验收报告。</w:t>
            </w:r>
          </w:p>
          <w:p>
            <w:pPr>
              <w:ind w:firstLine="480" w:firstLineChars="200"/>
              <w:rPr>
                <w:rFonts w:hint="eastAsia" w:hAnsi="宋体"/>
                <w:color w:val="000000"/>
                <w:sz w:val="24"/>
              </w:rPr>
            </w:pPr>
            <w:r>
              <w:rPr>
                <w:rFonts w:hint="eastAsia" w:hAnsi="宋体"/>
                <w:color w:val="000000"/>
                <w:sz w:val="24"/>
              </w:rPr>
              <w:t>3．验收标准：</w:t>
            </w:r>
          </w:p>
          <w:p>
            <w:pPr>
              <w:ind w:firstLine="480" w:firstLineChars="200"/>
              <w:rPr>
                <w:rFonts w:hint="eastAsia" w:hAnsi="宋体"/>
                <w:color w:val="000000"/>
                <w:sz w:val="24"/>
              </w:rPr>
            </w:pPr>
            <w:r>
              <w:rPr>
                <w:rFonts w:hint="eastAsia" w:hAnsi="宋体"/>
                <w:color w:val="000000"/>
                <w:sz w:val="24"/>
              </w:rPr>
              <w:t>（1）所有材料、内容必须是全新并符合指定要求，若验收时发现不符合招标文件技术规格要求，将被视为性能不合格，采购人有权拒收并要求赔偿。</w:t>
            </w:r>
          </w:p>
          <w:p>
            <w:pPr>
              <w:ind w:firstLine="480" w:firstLineChars="200"/>
              <w:rPr>
                <w:rFonts w:hint="eastAsia" w:hAnsi="宋体"/>
                <w:color w:val="000000"/>
                <w:sz w:val="24"/>
              </w:rPr>
            </w:pPr>
            <w:r>
              <w:rPr>
                <w:rFonts w:hint="eastAsia" w:hAnsi="宋体"/>
                <w:color w:val="000000"/>
                <w:sz w:val="24"/>
              </w:rPr>
              <w:t>（2）严格按照学院要求组织验收，符合国家和行业标准规定的验收标准。</w:t>
            </w:r>
          </w:p>
        </w:tc>
      </w:tr>
      <w:bookmarkEnd w:id="97"/>
    </w:tbl>
    <w:p>
      <w:pPr>
        <w:pStyle w:val="2"/>
        <w:snapToGrid w:val="0"/>
        <w:spacing w:before="0" w:after="0" w:line="240" w:lineRule="auto"/>
        <w:rPr>
          <w:rFonts w:hint="eastAsia" w:hAnsi="宋体" w:cs="宋体"/>
          <w:sz w:val="24"/>
          <w:szCs w:val="24"/>
        </w:rPr>
      </w:pPr>
    </w:p>
    <w:p>
      <w:pPr>
        <w:snapToGrid w:val="0"/>
        <w:spacing w:line="360" w:lineRule="auto"/>
        <w:jc w:val="both"/>
        <w:rPr>
          <w:rFonts w:hint="eastAsia" w:hAnsi="宋体" w:cs="宋体"/>
          <w:b/>
          <w:bCs/>
          <w:sz w:val="28"/>
          <w:szCs w:val="28"/>
        </w:rPr>
      </w:pPr>
      <w:r>
        <w:rPr>
          <w:rFonts w:hint="eastAsia" w:hAnsi="宋体" w:cs="宋体"/>
          <w:b/>
          <w:bCs/>
          <w:sz w:val="24"/>
          <w:szCs w:val="24"/>
        </w:rPr>
        <w:t>附件：</w:t>
      </w:r>
      <w:r>
        <w:rPr>
          <w:rFonts w:hint="eastAsia" w:hAnsi="宋体" w:cs="宋体"/>
          <w:b/>
          <w:bCs/>
          <w:sz w:val="24"/>
          <w:szCs w:val="24"/>
          <w:lang w:val="en-US" w:eastAsia="zh-CN"/>
        </w:rPr>
        <w:t xml:space="preserve">                           </w:t>
      </w:r>
      <w:r>
        <w:rPr>
          <w:rFonts w:hint="eastAsia" w:hAnsi="宋体" w:cs="宋体"/>
          <w:b/>
          <w:bCs/>
          <w:sz w:val="28"/>
          <w:szCs w:val="28"/>
        </w:rPr>
        <w:t>诊改试点</w:t>
      </w:r>
      <w:r>
        <w:rPr>
          <w:rFonts w:hint="eastAsia" w:hAnsi="宋体" w:cs="宋体"/>
          <w:b/>
          <w:bCs/>
          <w:sz w:val="28"/>
          <w:szCs w:val="28"/>
          <w:lang w:val="en-US" w:eastAsia="zh-CN"/>
        </w:rPr>
        <w:t>课程汇总</w:t>
      </w:r>
      <w:r>
        <w:rPr>
          <w:rFonts w:hint="eastAsia" w:hAnsi="宋体" w:cs="宋体"/>
          <w:b/>
          <w:bCs/>
          <w:sz w:val="28"/>
          <w:szCs w:val="28"/>
        </w:rPr>
        <w:t>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67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both"/>
              <w:rPr>
                <w:rFonts w:hAnsi="宋体" w:cs="宋体"/>
                <w:sz w:val="24"/>
                <w:szCs w:val="24"/>
              </w:rPr>
            </w:pPr>
            <w:r>
              <w:rPr>
                <w:rFonts w:hint="eastAsia" w:hAnsi="宋体" w:cs="宋体"/>
                <w:sz w:val="24"/>
                <w:szCs w:val="24"/>
              </w:rPr>
              <w:t>序号</w:t>
            </w:r>
          </w:p>
        </w:tc>
        <w:tc>
          <w:tcPr>
            <w:tcW w:w="4811" w:type="dxa"/>
            <w:noWrap w:val="0"/>
            <w:vAlign w:val="center"/>
          </w:tcPr>
          <w:p>
            <w:pPr>
              <w:snapToGrid w:val="0"/>
              <w:spacing w:line="360" w:lineRule="auto"/>
              <w:jc w:val="center"/>
              <w:rPr>
                <w:rFonts w:hAnsi="宋体" w:cs="宋体"/>
                <w:sz w:val="24"/>
                <w:szCs w:val="24"/>
              </w:rPr>
            </w:pPr>
            <w:r>
              <w:rPr>
                <w:rFonts w:hint="eastAsia" w:hAnsi="宋体" w:cs="宋体"/>
                <w:sz w:val="24"/>
                <w:szCs w:val="24"/>
              </w:rPr>
              <w:t>课程名称</w:t>
            </w:r>
          </w:p>
        </w:tc>
        <w:tc>
          <w:tcPr>
            <w:tcW w:w="3885" w:type="dxa"/>
            <w:noWrap w:val="0"/>
            <w:vAlign w:val="center"/>
          </w:tcPr>
          <w:p>
            <w:pPr>
              <w:snapToGrid w:val="0"/>
              <w:spacing w:line="360" w:lineRule="auto"/>
              <w:jc w:val="center"/>
              <w:rPr>
                <w:rFonts w:hint="eastAsia" w:hAnsi="宋体" w:eastAsia="宋体" w:cs="宋体"/>
                <w:sz w:val="24"/>
                <w:szCs w:val="24"/>
                <w:lang w:val="en-US" w:eastAsia="zh-CN"/>
              </w:rPr>
            </w:pPr>
            <w:r>
              <w:rPr>
                <w:rFonts w:hint="eastAsia" w:hAnsi="宋体" w:cs="宋体"/>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rPr>
            </w:pPr>
            <w:r>
              <w:rPr>
                <w:rFonts w:hint="eastAsia" w:hAnsi="宋体" w:cs="宋体"/>
                <w:sz w:val="21"/>
                <w:szCs w:val="21"/>
              </w:rPr>
              <w:t>1</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lang w:val="en-US" w:eastAsia="zh-CN"/>
              </w:rPr>
              <w:t>牵引控制系统</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2</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lang w:val="en-US" w:eastAsia="zh-CN"/>
              </w:rPr>
              <w:t>动车组运用与管理</w:t>
            </w:r>
          </w:p>
        </w:tc>
        <w:tc>
          <w:tcPr>
            <w:tcW w:w="3885" w:type="dxa"/>
            <w:noWrap w:val="0"/>
            <w:vAlign w:val="center"/>
          </w:tcPr>
          <w:p>
            <w:pPr>
              <w:snapToGrid w:val="0"/>
              <w:spacing w:line="360" w:lineRule="auto"/>
              <w:jc w:val="both"/>
              <w:rPr>
                <w:rFonts w:hint="default" w:ascii="宋体" w:hAnsi="宋体" w:cs="宋体"/>
                <w:sz w:val="21"/>
                <w:szCs w:val="21"/>
                <w:lang w:val="en-US" w:eastAsia="zh-CN" w:bidi="ar-SA"/>
              </w:rPr>
            </w:pPr>
            <w:r>
              <w:rPr>
                <w:rFonts w:hint="eastAsia" w:hAnsi="宋体" w:cs="宋体"/>
                <w:sz w:val="21"/>
                <w:szCs w:val="21"/>
              </w:rPr>
              <w:t>动车组检修技术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3</w:t>
            </w:r>
          </w:p>
        </w:tc>
        <w:tc>
          <w:tcPr>
            <w:tcW w:w="4811" w:type="dxa"/>
            <w:noWrap w:val="0"/>
            <w:vAlign w:val="center"/>
          </w:tcPr>
          <w:p>
            <w:pPr>
              <w:snapToGrid w:val="0"/>
              <w:spacing w:line="360" w:lineRule="auto"/>
              <w:jc w:val="both"/>
              <w:rPr>
                <w:rFonts w:hint="eastAsia" w:hAnsi="宋体" w:cs="宋体"/>
                <w:sz w:val="21"/>
                <w:szCs w:val="21"/>
                <w:lang w:val="en-US" w:eastAsia="zh-CN"/>
              </w:rPr>
            </w:pPr>
            <w:r>
              <w:rPr>
                <w:rFonts w:hint="eastAsia" w:hAnsi="宋体" w:cs="宋体"/>
                <w:sz w:val="21"/>
                <w:szCs w:val="21"/>
              </w:rPr>
              <w:t>接触网设备运行与检修</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铁道供电技术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4</w:t>
            </w:r>
          </w:p>
        </w:tc>
        <w:tc>
          <w:tcPr>
            <w:tcW w:w="4811" w:type="dxa"/>
            <w:noWrap w:val="0"/>
            <w:vAlign w:val="center"/>
          </w:tcPr>
          <w:p>
            <w:pPr>
              <w:snapToGrid w:val="0"/>
              <w:spacing w:line="360" w:lineRule="auto"/>
              <w:jc w:val="both"/>
              <w:rPr>
                <w:rFonts w:hint="eastAsia" w:hAnsi="宋体" w:cs="宋体"/>
                <w:sz w:val="21"/>
                <w:szCs w:val="21"/>
              </w:rPr>
            </w:pPr>
            <w:r>
              <w:rPr>
                <w:rFonts w:hint="eastAsia" w:hAnsi="宋体" w:cs="宋体"/>
                <w:sz w:val="21"/>
                <w:szCs w:val="21"/>
              </w:rPr>
              <w:t>铁道信号基础设备</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铁道信号自动控制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5</w:t>
            </w:r>
          </w:p>
        </w:tc>
        <w:tc>
          <w:tcPr>
            <w:tcW w:w="4811" w:type="dxa"/>
            <w:noWrap w:val="0"/>
            <w:vAlign w:val="center"/>
          </w:tcPr>
          <w:p>
            <w:pPr>
              <w:snapToGrid w:val="0"/>
              <w:spacing w:line="360" w:lineRule="auto"/>
              <w:jc w:val="both"/>
              <w:rPr>
                <w:rFonts w:hint="eastAsia" w:hAnsi="宋体" w:cs="宋体"/>
                <w:sz w:val="21"/>
                <w:szCs w:val="21"/>
              </w:rPr>
            </w:pPr>
            <w:r>
              <w:rPr>
                <w:rFonts w:hint="eastAsia" w:hAnsi="宋体" w:cs="宋体"/>
                <w:sz w:val="21"/>
                <w:szCs w:val="21"/>
              </w:rPr>
              <w:t>数字传输系统</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铁道通信与信息化技术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6</w:t>
            </w:r>
          </w:p>
        </w:tc>
        <w:tc>
          <w:tcPr>
            <w:tcW w:w="4811" w:type="dxa"/>
            <w:noWrap w:val="0"/>
            <w:vAlign w:val="center"/>
          </w:tcPr>
          <w:p>
            <w:pPr>
              <w:snapToGrid w:val="0"/>
              <w:spacing w:line="360" w:lineRule="auto"/>
              <w:jc w:val="both"/>
              <w:rPr>
                <w:rFonts w:hint="eastAsia" w:hAnsi="宋体" w:cs="宋体"/>
                <w:sz w:val="21"/>
                <w:szCs w:val="21"/>
                <w:lang w:val="en-US" w:eastAsia="zh-CN"/>
              </w:rPr>
            </w:pPr>
            <w:r>
              <w:rPr>
                <w:rFonts w:hint="eastAsia" w:hAnsi="宋体" w:cs="宋体"/>
                <w:sz w:val="21"/>
                <w:szCs w:val="21"/>
                <w:lang w:val="en-US" w:eastAsia="zh-CN"/>
              </w:rPr>
              <w:t>工程材料及检测</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7</w:t>
            </w:r>
          </w:p>
        </w:tc>
        <w:tc>
          <w:tcPr>
            <w:tcW w:w="4811" w:type="dxa"/>
            <w:noWrap w:val="0"/>
            <w:vAlign w:val="center"/>
          </w:tcPr>
          <w:p>
            <w:pPr>
              <w:snapToGrid w:val="0"/>
              <w:spacing w:line="360" w:lineRule="auto"/>
              <w:jc w:val="both"/>
              <w:rPr>
                <w:rFonts w:hint="eastAsia" w:hAnsi="宋体" w:cs="宋体"/>
                <w:sz w:val="21"/>
                <w:szCs w:val="21"/>
              </w:rPr>
            </w:pPr>
            <w:r>
              <w:rPr>
                <w:rFonts w:hint="eastAsia" w:hAnsi="宋体" w:cs="宋体"/>
                <w:sz w:val="21"/>
                <w:szCs w:val="21"/>
              </w:rPr>
              <w:t>城轨车辆驾驶与故障处理</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城市轨道交通车辆技术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8</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rPr>
              <w:t>车站作业计划与统计</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铁道交通运营管理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eastAsia" w:hAnsi="宋体" w:cs="宋体"/>
                <w:sz w:val="21"/>
                <w:szCs w:val="21"/>
                <w:lang w:eastAsia="zh-CN"/>
              </w:rPr>
            </w:pPr>
            <w:r>
              <w:rPr>
                <w:rFonts w:hint="eastAsia" w:hAnsi="宋体" w:cs="宋体"/>
                <w:sz w:val="21"/>
                <w:szCs w:val="21"/>
                <w:lang w:val="en-US" w:eastAsia="zh-CN"/>
              </w:rPr>
              <w:t>9</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rPr>
              <w:t>网络营销实务</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10</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lang w:val="en-US" w:eastAsia="zh-CN"/>
              </w:rPr>
              <w:t>财务会计实务（1）</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11</w:t>
            </w:r>
          </w:p>
        </w:tc>
        <w:tc>
          <w:tcPr>
            <w:tcW w:w="4811" w:type="dxa"/>
            <w:noWrap w:val="0"/>
            <w:vAlign w:val="center"/>
          </w:tcPr>
          <w:p>
            <w:pPr>
              <w:snapToGrid w:val="0"/>
              <w:spacing w:line="360" w:lineRule="auto"/>
              <w:jc w:val="both"/>
              <w:rPr>
                <w:rFonts w:hint="default" w:hAnsi="宋体" w:cs="宋体"/>
                <w:sz w:val="21"/>
                <w:szCs w:val="21"/>
                <w:lang w:val="en-US" w:eastAsia="zh-CN"/>
              </w:rPr>
            </w:pPr>
            <w:r>
              <w:rPr>
                <w:rFonts w:hint="eastAsia" w:hAnsi="宋体" w:cs="宋体"/>
                <w:sz w:val="21"/>
                <w:szCs w:val="21"/>
                <w:lang w:val="en-US" w:eastAsia="zh-CN"/>
              </w:rPr>
              <w:t>人身保险实务</w:t>
            </w:r>
          </w:p>
        </w:tc>
        <w:tc>
          <w:tcPr>
            <w:tcW w:w="3885" w:type="dxa"/>
            <w:noWrap w:val="0"/>
            <w:vAlign w:val="center"/>
          </w:tcPr>
          <w:p>
            <w:pPr>
              <w:snapToGrid w:val="0"/>
              <w:spacing w:line="360" w:lineRule="auto"/>
              <w:jc w:val="both"/>
              <w:rPr>
                <w:rFonts w:hint="eastAsia" w:ascii="宋体" w:hAnsi="宋体" w:cs="宋体"/>
                <w:sz w:val="21"/>
                <w:szCs w:val="21"/>
                <w:lang w:val="en-US" w:eastAsia="zh-CN" w:bidi="ar-SA"/>
              </w:rPr>
            </w:pPr>
            <w:r>
              <w:rPr>
                <w:rFonts w:hint="eastAsia" w:hAnsi="宋体" w:cs="宋体"/>
                <w:sz w:val="21"/>
                <w:szCs w:val="21"/>
              </w:rPr>
              <w:t>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12</w:t>
            </w:r>
          </w:p>
        </w:tc>
        <w:tc>
          <w:tcPr>
            <w:tcW w:w="4811" w:type="dxa"/>
            <w:noWrap w:val="0"/>
            <w:vAlign w:val="center"/>
          </w:tcPr>
          <w:p>
            <w:pPr>
              <w:snapToGrid w:val="0"/>
              <w:spacing w:line="360" w:lineRule="auto"/>
              <w:jc w:val="both"/>
              <w:rPr>
                <w:rFonts w:hint="eastAsia" w:hAnsi="宋体" w:cs="宋体"/>
                <w:sz w:val="21"/>
                <w:szCs w:val="21"/>
                <w:lang w:val="en-US" w:eastAsia="zh-CN"/>
              </w:rPr>
            </w:pPr>
            <w:r>
              <w:rPr>
                <w:rFonts w:hint="eastAsia" w:hAnsi="宋体" w:cs="宋体"/>
                <w:sz w:val="21"/>
                <w:szCs w:val="21"/>
              </w:rPr>
              <w:t>毛泽东思</w:t>
            </w:r>
            <w:r>
              <w:rPr>
                <w:rFonts w:hint="eastAsia" w:hAnsi="宋体" w:cs="宋体"/>
                <w:sz w:val="21"/>
                <w:szCs w:val="21"/>
                <w:lang w:val="en-US" w:eastAsia="zh-CN"/>
              </w:rPr>
              <w:t>想</w:t>
            </w:r>
            <w:r>
              <w:rPr>
                <w:rFonts w:hint="eastAsia" w:hAnsi="宋体" w:cs="宋体"/>
                <w:sz w:val="21"/>
                <w:szCs w:val="21"/>
              </w:rPr>
              <w:t>和中国特色社会主义理论体系概论</w:t>
            </w:r>
          </w:p>
        </w:tc>
        <w:tc>
          <w:tcPr>
            <w:tcW w:w="3885" w:type="dxa"/>
            <w:noWrap w:val="0"/>
            <w:vAlign w:val="center"/>
          </w:tcPr>
          <w:p>
            <w:pPr>
              <w:snapToGrid w:val="0"/>
              <w:spacing w:line="360" w:lineRule="auto"/>
              <w:jc w:val="both"/>
              <w:rPr>
                <w:rFonts w:hint="eastAsia" w:ascii="宋体" w:hAnsi="宋体" w:eastAsia="宋体" w:cs="宋体"/>
                <w:sz w:val="21"/>
                <w:szCs w:val="21"/>
                <w:lang w:val="en-US" w:eastAsia="zh-CN" w:bidi="ar-SA"/>
              </w:rPr>
            </w:pPr>
            <w:r>
              <w:rPr>
                <w:rFonts w:hint="eastAsia" w:hAnsi="宋体" w:cs="宋体"/>
                <w:sz w:val="21"/>
                <w:szCs w:val="21"/>
                <w:lang w:val="en-US" w:eastAsia="zh-CN"/>
              </w:rPr>
              <w:t>会计</w:t>
            </w:r>
            <w:r>
              <w:rPr>
                <w:rFonts w:hint="eastAsia" w:hAnsi="宋体" w:cs="宋体"/>
                <w:sz w:val="21"/>
                <w:szCs w:val="21"/>
                <w:lang w:eastAsia="zh-CN"/>
              </w:rPr>
              <w:t>（</w:t>
            </w:r>
            <w:r>
              <w:rPr>
                <w:rFonts w:hint="eastAsia" w:hAnsi="宋体" w:cs="宋体"/>
                <w:sz w:val="21"/>
                <w:szCs w:val="21"/>
              </w:rPr>
              <w:t>毛概</w:t>
            </w:r>
            <w:r>
              <w:rPr>
                <w:rFonts w:hint="eastAsia" w:hAnsi="宋体" w:cs="宋体"/>
                <w:sz w:val="21"/>
                <w:szCs w:val="21"/>
                <w:lang w:val="en-US" w:eastAsia="zh-CN"/>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13</w:t>
            </w:r>
          </w:p>
        </w:tc>
        <w:tc>
          <w:tcPr>
            <w:tcW w:w="4811" w:type="dxa"/>
            <w:noWrap w:val="0"/>
            <w:vAlign w:val="center"/>
          </w:tcPr>
          <w:p>
            <w:pPr>
              <w:snapToGrid w:val="0"/>
              <w:spacing w:line="360" w:lineRule="auto"/>
              <w:jc w:val="both"/>
              <w:rPr>
                <w:rFonts w:hint="eastAsia" w:hAnsi="宋体" w:cs="宋体"/>
                <w:sz w:val="21"/>
                <w:szCs w:val="21"/>
                <w:lang w:val="en-US" w:eastAsia="zh-CN"/>
              </w:rPr>
            </w:pPr>
            <w:r>
              <w:rPr>
                <w:rFonts w:hint="eastAsia" w:hAnsi="宋体" w:cs="宋体"/>
                <w:sz w:val="21"/>
                <w:szCs w:val="21"/>
                <w:lang w:val="en-US" w:eastAsia="zh-CN"/>
              </w:rPr>
              <w:t>国学概论</w:t>
            </w:r>
          </w:p>
        </w:tc>
        <w:tc>
          <w:tcPr>
            <w:tcW w:w="3885" w:type="dxa"/>
            <w:noWrap w:val="0"/>
            <w:vAlign w:val="center"/>
          </w:tcPr>
          <w:p>
            <w:pPr>
              <w:snapToGrid w:val="0"/>
              <w:spacing w:line="360" w:lineRule="auto"/>
              <w:jc w:val="both"/>
              <w:rPr>
                <w:rFonts w:hint="eastAsia" w:ascii="宋体" w:hAnsi="宋体" w:eastAsia="宋体" w:cs="宋体"/>
                <w:sz w:val="21"/>
                <w:szCs w:val="21"/>
                <w:lang w:val="en-US" w:eastAsia="zh-CN" w:bidi="ar-SA"/>
              </w:rPr>
            </w:pPr>
            <w:r>
              <w:rPr>
                <w:rFonts w:hint="eastAsia" w:hAnsi="宋体" w:cs="宋体"/>
                <w:sz w:val="21"/>
                <w:szCs w:val="21"/>
                <w:lang w:val="en-US" w:eastAsia="zh-CN"/>
              </w:rPr>
              <w:t>铁道机车（</w:t>
            </w:r>
            <w:r>
              <w:rPr>
                <w:rFonts w:hint="eastAsia" w:hAnsi="宋体" w:cs="宋体"/>
                <w:sz w:val="21"/>
                <w:szCs w:val="21"/>
              </w:rPr>
              <w:t>语文</w:t>
            </w:r>
            <w:r>
              <w:rPr>
                <w:rFonts w:hint="eastAsia" w:hAnsi="宋体" w:cs="宋体"/>
                <w:sz w:val="21"/>
                <w:szCs w:val="21"/>
                <w:lang w:val="en-US" w:eastAsia="zh-CN"/>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14</w:t>
            </w:r>
          </w:p>
        </w:tc>
        <w:tc>
          <w:tcPr>
            <w:tcW w:w="4811" w:type="dxa"/>
            <w:noWrap w:val="0"/>
            <w:vAlign w:val="center"/>
          </w:tcPr>
          <w:p>
            <w:pPr>
              <w:snapToGrid w:val="0"/>
              <w:spacing w:line="360" w:lineRule="auto"/>
              <w:jc w:val="both"/>
              <w:rPr>
                <w:rFonts w:hint="eastAsia" w:hAnsi="宋体" w:cs="宋体"/>
                <w:sz w:val="21"/>
                <w:szCs w:val="21"/>
                <w:lang w:val="en-US" w:eastAsia="zh-CN"/>
              </w:rPr>
            </w:pPr>
            <w:r>
              <w:rPr>
                <w:rFonts w:hint="eastAsia" w:hAnsi="宋体" w:cs="宋体"/>
                <w:sz w:val="21"/>
                <w:szCs w:val="21"/>
              </w:rPr>
              <w:t>高等数学</w:t>
            </w:r>
          </w:p>
        </w:tc>
        <w:tc>
          <w:tcPr>
            <w:tcW w:w="3885" w:type="dxa"/>
            <w:noWrap w:val="0"/>
            <w:vAlign w:val="center"/>
          </w:tcPr>
          <w:p>
            <w:pPr>
              <w:snapToGrid w:val="0"/>
              <w:spacing w:line="360" w:lineRule="auto"/>
              <w:jc w:val="both"/>
              <w:rPr>
                <w:rFonts w:hint="eastAsia" w:ascii="宋体" w:hAnsi="宋体" w:eastAsia="宋体" w:cs="宋体"/>
                <w:sz w:val="21"/>
                <w:szCs w:val="21"/>
                <w:lang w:val="en-US" w:eastAsia="zh-CN" w:bidi="ar-SA"/>
              </w:rPr>
            </w:pPr>
            <w:r>
              <w:rPr>
                <w:rFonts w:hint="eastAsia" w:hAnsi="宋体" w:cs="宋体"/>
                <w:sz w:val="21"/>
                <w:szCs w:val="21"/>
                <w:lang w:val="en-US" w:eastAsia="zh-CN"/>
              </w:rPr>
              <w:t>铁道信号自动控制（</w:t>
            </w:r>
            <w:r>
              <w:rPr>
                <w:rFonts w:hint="eastAsia" w:hAnsi="宋体" w:cs="宋体"/>
                <w:sz w:val="21"/>
                <w:szCs w:val="21"/>
              </w:rPr>
              <w:t>数学</w:t>
            </w:r>
            <w:r>
              <w:rPr>
                <w:rFonts w:hint="eastAsia" w:hAnsi="宋体" w:cs="宋体"/>
                <w:sz w:val="21"/>
                <w:szCs w:val="21"/>
                <w:lang w:val="en-US" w:eastAsia="zh-CN"/>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98" w:type="dxa"/>
            <w:noWrap w:val="0"/>
            <w:vAlign w:val="center"/>
          </w:tcPr>
          <w:p>
            <w:pPr>
              <w:snapToGrid w:val="0"/>
              <w:spacing w:line="360" w:lineRule="auto"/>
              <w:jc w:val="center"/>
              <w:rPr>
                <w:rFonts w:hint="default" w:hAnsi="宋体" w:cs="宋体"/>
                <w:sz w:val="21"/>
                <w:szCs w:val="21"/>
                <w:lang w:val="en-US" w:eastAsia="zh-CN"/>
              </w:rPr>
            </w:pPr>
            <w:r>
              <w:rPr>
                <w:rFonts w:hint="eastAsia" w:hAnsi="宋体" w:cs="宋体"/>
                <w:sz w:val="21"/>
                <w:szCs w:val="21"/>
                <w:lang w:val="en-US" w:eastAsia="zh-CN"/>
              </w:rPr>
              <w:t>15</w:t>
            </w:r>
          </w:p>
        </w:tc>
        <w:tc>
          <w:tcPr>
            <w:tcW w:w="4811" w:type="dxa"/>
            <w:noWrap w:val="0"/>
            <w:vAlign w:val="center"/>
          </w:tcPr>
          <w:p>
            <w:pPr>
              <w:snapToGrid w:val="0"/>
              <w:spacing w:line="360" w:lineRule="auto"/>
              <w:jc w:val="both"/>
              <w:rPr>
                <w:rFonts w:hint="eastAsia" w:hAnsi="宋体" w:cs="宋体"/>
                <w:sz w:val="21"/>
                <w:szCs w:val="21"/>
              </w:rPr>
            </w:pPr>
            <w:r>
              <w:rPr>
                <w:rFonts w:hint="eastAsia" w:hAnsi="宋体" w:cs="宋体"/>
                <w:sz w:val="21"/>
                <w:szCs w:val="21"/>
              </w:rPr>
              <w:t>机械基础</w:t>
            </w:r>
          </w:p>
        </w:tc>
        <w:tc>
          <w:tcPr>
            <w:tcW w:w="3885" w:type="dxa"/>
            <w:noWrap w:val="0"/>
            <w:vAlign w:val="center"/>
          </w:tcPr>
          <w:p>
            <w:pPr>
              <w:snapToGrid w:val="0"/>
              <w:spacing w:line="360" w:lineRule="auto"/>
              <w:jc w:val="both"/>
              <w:rPr>
                <w:rFonts w:hint="eastAsia" w:ascii="宋体" w:hAnsi="宋体" w:eastAsia="宋体" w:cs="宋体"/>
                <w:sz w:val="21"/>
                <w:szCs w:val="21"/>
                <w:lang w:val="en-US" w:eastAsia="zh-CN" w:bidi="ar-SA"/>
              </w:rPr>
            </w:pPr>
            <w:r>
              <w:rPr>
                <w:rFonts w:hint="eastAsia" w:hAnsi="宋体" w:cs="宋体"/>
                <w:sz w:val="21"/>
                <w:szCs w:val="21"/>
                <w:lang w:val="en-US" w:eastAsia="zh-CN"/>
              </w:rPr>
              <w:t>铁道供电技术（</w:t>
            </w:r>
            <w:r>
              <w:rPr>
                <w:rFonts w:hint="eastAsia" w:hAnsi="宋体" w:cs="宋体"/>
                <w:sz w:val="21"/>
                <w:szCs w:val="21"/>
              </w:rPr>
              <w:t>机械基础</w:t>
            </w:r>
            <w:r>
              <w:rPr>
                <w:rFonts w:hint="eastAsia" w:hAnsi="宋体" w:cs="宋体"/>
                <w:sz w:val="21"/>
                <w:szCs w:val="21"/>
                <w:lang w:val="en-US" w:eastAsia="zh-CN"/>
              </w:rPr>
              <w:t>教研室）</w:t>
            </w:r>
          </w:p>
        </w:tc>
      </w:tr>
    </w:tbl>
    <w:p>
      <w:pPr>
        <w:snapToGrid w:val="0"/>
        <w:spacing w:line="360" w:lineRule="auto"/>
        <w:rPr>
          <w:rFonts w:hint="eastAsia" w:hAnsi="宋体" w:cs="宋体"/>
          <w:sz w:val="21"/>
          <w:szCs w:val="21"/>
        </w:rPr>
      </w:pPr>
    </w:p>
    <w:p>
      <w:pPr>
        <w:pStyle w:val="2"/>
        <w:snapToGrid w:val="0"/>
        <w:spacing w:before="0" w:after="0" w:line="240" w:lineRule="auto"/>
        <w:rPr>
          <w:rFonts w:hint="eastAsia" w:hAnsi="宋体" w:cs="宋体"/>
          <w:sz w:val="24"/>
          <w:szCs w:val="24"/>
        </w:rPr>
      </w:pPr>
    </w:p>
    <w:p>
      <w:pPr>
        <w:rPr>
          <w:rFonts w:hint="eastAsia"/>
        </w:rPr>
      </w:pPr>
    </w:p>
    <w:p>
      <w:pPr>
        <w:rPr>
          <w:rFonts w:hint="eastAsia"/>
        </w:rPr>
      </w:pPr>
    </w:p>
    <w:p>
      <w:pPr>
        <w:pStyle w:val="2"/>
        <w:snapToGrid w:val="0"/>
        <w:spacing w:before="0" w:after="0" w:line="240" w:lineRule="auto"/>
        <w:jc w:val="center"/>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int="eastAsia" w:hAnsi="宋体"/>
          <w:spacing w:val="8"/>
          <w:sz w:val="24"/>
          <w:szCs w:val="24"/>
        </w:rPr>
      </w:pPr>
    </w:p>
    <w:p>
      <w:pPr>
        <w:adjustRightInd w:val="0"/>
        <w:snapToGrid w:val="0"/>
        <w:spacing w:line="360" w:lineRule="auto"/>
        <w:ind w:firstLine="480" w:firstLineChars="200"/>
        <w:jc w:val="left"/>
        <w:rPr>
          <w:rFonts w:hint="eastAsia" w:hAnsi="宋体" w:eastAsia="宋体"/>
          <w:color w:val="000000"/>
          <w:sz w:val="24"/>
        </w:rPr>
      </w:pPr>
      <w:r>
        <w:rPr>
          <w:rFonts w:hint="eastAsia" w:hAnsi="宋体" w:eastAsia="宋体"/>
          <w:color w:val="000000"/>
          <w:sz w:val="24"/>
        </w:rPr>
        <w:t>一、评标办法</w:t>
      </w:r>
    </w:p>
    <w:p>
      <w:pPr>
        <w:adjustRightInd w:val="0"/>
        <w:snapToGrid w:val="0"/>
        <w:spacing w:line="360" w:lineRule="auto"/>
        <w:ind w:left="480"/>
        <w:jc w:val="left"/>
        <w:rPr>
          <w:rFonts w:hAnsi="宋体" w:eastAsia="宋体"/>
          <w:color w:val="000000"/>
          <w:sz w:val="24"/>
        </w:rPr>
      </w:pPr>
      <w:r>
        <w:rPr>
          <w:rFonts w:hint="eastAsia" w:hAnsi="宋体" w:eastAsia="宋体"/>
          <w:color w:val="000000"/>
          <w:sz w:val="24"/>
        </w:rPr>
        <w:t>本次评标采用综合评标法。</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二、评分办法说明</w:t>
      </w:r>
      <w:r>
        <w:rPr>
          <w:rFonts w:hAnsi="宋体" w:eastAsia="宋体"/>
          <w:color w:val="000000"/>
          <w:sz w:val="24"/>
        </w:rPr>
        <w:t xml:space="preserve"> </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对各投标文件进行详细评审打分</w:t>
      </w:r>
      <w:r>
        <w:rPr>
          <w:rFonts w:hint="eastAsia" w:hAnsi="宋体" w:eastAsia="宋体"/>
          <w:color w:val="000000"/>
          <w:sz w:val="24"/>
          <w:lang w:eastAsia="zh-CN"/>
        </w:rPr>
        <w:t>，</w:t>
      </w:r>
      <w:r>
        <w:rPr>
          <w:rFonts w:hint="eastAsia" w:hAnsi="宋体" w:eastAsia="宋体"/>
          <w:color w:val="000000"/>
          <w:sz w:val="24"/>
        </w:rPr>
        <w:t>满分为</w:t>
      </w:r>
      <w:r>
        <w:rPr>
          <w:rFonts w:hAnsi="宋体" w:eastAsia="宋体"/>
          <w:color w:val="000000"/>
          <w:sz w:val="24"/>
        </w:rPr>
        <w:t xml:space="preserve"> 100 </w:t>
      </w:r>
      <w:r>
        <w:rPr>
          <w:rFonts w:hint="eastAsia" w:hAnsi="宋体" w:eastAsia="宋体"/>
          <w:color w:val="000000"/>
          <w:sz w:val="24"/>
        </w:rPr>
        <w:t>分</w:t>
      </w:r>
      <w:r>
        <w:rPr>
          <w:rFonts w:hint="eastAsia" w:hAnsi="宋体" w:eastAsia="宋体"/>
          <w:color w:val="000000"/>
          <w:sz w:val="24"/>
          <w:lang w:eastAsia="zh-CN"/>
        </w:rPr>
        <w:t>。</w:t>
      </w:r>
      <w:r>
        <w:rPr>
          <w:rFonts w:hint="eastAsia" w:hAnsi="宋体" w:eastAsia="宋体"/>
          <w:color w:val="000000"/>
          <w:sz w:val="24"/>
        </w:rPr>
        <w:t>招标主要考评因素包括投标报价（</w:t>
      </w:r>
      <w:r>
        <w:rPr>
          <w:rFonts w:hint="eastAsia" w:hAnsi="宋体" w:eastAsia="宋体"/>
          <w:color w:val="000000"/>
          <w:sz w:val="24"/>
          <w:lang w:val="en-US" w:eastAsia="zh-CN"/>
        </w:rPr>
        <w:t>3</w:t>
      </w:r>
      <w:r>
        <w:rPr>
          <w:rFonts w:hAnsi="宋体" w:eastAsia="宋体"/>
          <w:color w:val="000000"/>
          <w:sz w:val="24"/>
        </w:rPr>
        <w:t>0%</w:t>
      </w:r>
      <w:r>
        <w:rPr>
          <w:rFonts w:hint="eastAsia" w:hAnsi="宋体" w:eastAsia="宋体"/>
          <w:color w:val="000000"/>
          <w:sz w:val="24"/>
        </w:rPr>
        <w:t>）、技术性能（</w:t>
      </w:r>
      <w:r>
        <w:rPr>
          <w:rFonts w:hint="eastAsia" w:hAnsi="宋体" w:eastAsia="宋体"/>
          <w:color w:val="000000"/>
          <w:sz w:val="24"/>
          <w:lang w:val="en-US" w:eastAsia="zh-CN"/>
        </w:rPr>
        <w:t>40</w:t>
      </w:r>
      <w:r>
        <w:rPr>
          <w:rFonts w:hAnsi="宋体" w:eastAsia="宋体"/>
          <w:color w:val="000000"/>
          <w:sz w:val="24"/>
        </w:rPr>
        <w:t>%</w:t>
      </w:r>
      <w:r>
        <w:rPr>
          <w:rFonts w:hint="eastAsia" w:hAnsi="宋体" w:eastAsia="宋体"/>
          <w:color w:val="000000"/>
          <w:sz w:val="24"/>
        </w:rPr>
        <w:t>）和综合商务部分（</w:t>
      </w:r>
      <w:r>
        <w:rPr>
          <w:rFonts w:hAnsi="宋体" w:eastAsia="宋体"/>
          <w:color w:val="000000"/>
          <w:sz w:val="24"/>
        </w:rPr>
        <w:t>3</w:t>
      </w:r>
      <w:r>
        <w:rPr>
          <w:rFonts w:hint="eastAsia" w:hAnsi="宋体" w:eastAsia="宋体"/>
          <w:color w:val="000000"/>
          <w:sz w:val="24"/>
          <w:lang w:val="en-US" w:eastAsia="zh-CN"/>
        </w:rPr>
        <w:t>0</w:t>
      </w:r>
      <w:r>
        <w:rPr>
          <w:rFonts w:hAnsi="宋体" w:eastAsia="宋体"/>
          <w:color w:val="000000"/>
          <w:sz w:val="24"/>
        </w:rPr>
        <w:t>%</w:t>
      </w:r>
      <w:r>
        <w:rPr>
          <w:rFonts w:hint="eastAsia" w:hAnsi="宋体" w:eastAsia="宋体"/>
          <w:color w:val="000000"/>
          <w:sz w:val="24"/>
        </w:rPr>
        <w:t>）三个方面，各投标人三方面的所有评价指标得分之和</w:t>
      </w:r>
      <w:r>
        <w:rPr>
          <w:rFonts w:hint="eastAsia" w:hAnsi="宋体" w:eastAsia="宋体"/>
          <w:color w:val="000000"/>
          <w:sz w:val="24"/>
          <w:lang w:val="en-US" w:eastAsia="zh-CN"/>
        </w:rPr>
        <w:t>为</w:t>
      </w:r>
      <w:r>
        <w:rPr>
          <w:rFonts w:hint="eastAsia" w:hAnsi="宋体" w:eastAsia="宋体"/>
          <w:color w:val="000000"/>
          <w:sz w:val="24"/>
        </w:rPr>
        <w:t>该投标人的综合得分。</w:t>
      </w:r>
    </w:p>
    <w:p>
      <w:pPr>
        <w:adjustRightInd w:val="0"/>
        <w:snapToGrid w:val="0"/>
        <w:spacing w:line="360" w:lineRule="auto"/>
        <w:ind w:firstLine="451" w:firstLineChars="188"/>
        <w:jc w:val="left"/>
        <w:rPr>
          <w:rFonts w:hAnsi="宋体" w:eastAsia="宋体"/>
          <w:color w:val="000000"/>
          <w:sz w:val="24"/>
        </w:rPr>
      </w:pPr>
      <w:r>
        <w:rPr>
          <w:rFonts w:hint="eastAsia" w:hAnsi="宋体" w:eastAsia="宋体"/>
          <w:color w:val="000000"/>
          <w:sz w:val="24"/>
        </w:rPr>
        <w:t>详细评分标准如下表：</w:t>
      </w:r>
      <w:r>
        <w:rPr>
          <w:rFonts w:hAnsi="宋体" w:eastAsia="宋体"/>
          <w:color w:val="000000"/>
          <w:sz w:val="24"/>
        </w:rPr>
        <w:t xml:space="preserve"> </w:t>
      </w:r>
    </w:p>
    <w:tbl>
      <w:tblPr>
        <w:tblStyle w:val="1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19"/>
        <w:gridCol w:w="663"/>
        <w:gridCol w:w="4299"/>
        <w:gridCol w:w="141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noWrap w:val="0"/>
            <w:vAlign w:val="center"/>
          </w:tcPr>
          <w:p>
            <w:pPr>
              <w:spacing w:line="400" w:lineRule="exact"/>
              <w:ind w:firstLine="28"/>
              <w:jc w:val="left"/>
              <w:rPr>
                <w:rFonts w:hAnsi="宋体"/>
                <w:sz w:val="18"/>
                <w:szCs w:val="18"/>
              </w:rPr>
            </w:pPr>
            <w:r>
              <w:rPr>
                <w:rFonts w:hint="eastAsia" w:hAnsi="宋体"/>
                <w:sz w:val="18"/>
                <w:szCs w:val="18"/>
              </w:rPr>
              <w:t>序号</w:t>
            </w:r>
          </w:p>
        </w:tc>
        <w:tc>
          <w:tcPr>
            <w:tcW w:w="1119" w:type="dxa"/>
            <w:noWrap w:val="0"/>
            <w:vAlign w:val="center"/>
          </w:tcPr>
          <w:p>
            <w:pPr>
              <w:spacing w:line="400" w:lineRule="exact"/>
              <w:ind w:firstLine="28"/>
              <w:jc w:val="left"/>
              <w:rPr>
                <w:rFonts w:hAnsi="宋体"/>
                <w:sz w:val="18"/>
                <w:szCs w:val="18"/>
              </w:rPr>
            </w:pPr>
            <w:r>
              <w:rPr>
                <w:rFonts w:hint="eastAsia" w:hAnsi="宋体"/>
                <w:sz w:val="18"/>
                <w:szCs w:val="18"/>
              </w:rPr>
              <w:t>评分因素</w:t>
            </w:r>
          </w:p>
          <w:p>
            <w:pPr>
              <w:spacing w:line="400" w:lineRule="exact"/>
              <w:ind w:firstLine="28"/>
              <w:jc w:val="left"/>
              <w:rPr>
                <w:rFonts w:hAnsi="宋体"/>
                <w:sz w:val="18"/>
                <w:szCs w:val="18"/>
              </w:rPr>
            </w:pPr>
            <w:r>
              <w:rPr>
                <w:rFonts w:hint="eastAsia" w:hAnsi="宋体"/>
                <w:sz w:val="18"/>
                <w:szCs w:val="18"/>
              </w:rPr>
              <w:t>及权重</w:t>
            </w:r>
          </w:p>
        </w:tc>
        <w:tc>
          <w:tcPr>
            <w:tcW w:w="663" w:type="dxa"/>
            <w:noWrap w:val="0"/>
            <w:vAlign w:val="center"/>
          </w:tcPr>
          <w:p>
            <w:pPr>
              <w:spacing w:line="400" w:lineRule="exact"/>
              <w:ind w:firstLine="28"/>
              <w:jc w:val="left"/>
              <w:rPr>
                <w:rFonts w:hAnsi="宋体"/>
                <w:sz w:val="18"/>
                <w:szCs w:val="18"/>
              </w:rPr>
            </w:pPr>
            <w:r>
              <w:rPr>
                <w:rFonts w:hint="eastAsia" w:hAnsi="宋体"/>
                <w:sz w:val="18"/>
                <w:szCs w:val="18"/>
              </w:rPr>
              <w:t>分　值</w:t>
            </w:r>
          </w:p>
        </w:tc>
        <w:tc>
          <w:tcPr>
            <w:tcW w:w="4299" w:type="dxa"/>
            <w:noWrap w:val="0"/>
            <w:vAlign w:val="center"/>
          </w:tcPr>
          <w:p>
            <w:pPr>
              <w:spacing w:line="400" w:lineRule="exact"/>
              <w:ind w:firstLine="28"/>
              <w:jc w:val="left"/>
              <w:rPr>
                <w:rFonts w:hAnsi="宋体"/>
                <w:sz w:val="18"/>
                <w:szCs w:val="18"/>
              </w:rPr>
            </w:pPr>
            <w:r>
              <w:rPr>
                <w:rFonts w:hint="eastAsia" w:hAnsi="宋体"/>
                <w:sz w:val="18"/>
                <w:szCs w:val="18"/>
              </w:rPr>
              <w:t>评分标准</w:t>
            </w:r>
          </w:p>
        </w:tc>
        <w:tc>
          <w:tcPr>
            <w:tcW w:w="1417" w:type="dxa"/>
            <w:noWrap w:val="0"/>
            <w:vAlign w:val="center"/>
          </w:tcPr>
          <w:p>
            <w:pPr>
              <w:spacing w:line="400" w:lineRule="exact"/>
              <w:jc w:val="left"/>
              <w:rPr>
                <w:rFonts w:hAnsi="宋体"/>
                <w:sz w:val="18"/>
                <w:szCs w:val="18"/>
              </w:rPr>
            </w:pPr>
            <w:r>
              <w:rPr>
                <w:rFonts w:hint="eastAsia" w:hAnsi="宋体"/>
                <w:sz w:val="18"/>
                <w:szCs w:val="18"/>
              </w:rPr>
              <w:t>备注</w:t>
            </w:r>
          </w:p>
        </w:tc>
        <w:tc>
          <w:tcPr>
            <w:tcW w:w="1063" w:type="dxa"/>
            <w:noWrap w:val="0"/>
            <w:vAlign w:val="center"/>
          </w:tcPr>
          <w:p>
            <w:pPr>
              <w:spacing w:line="400" w:lineRule="exact"/>
              <w:jc w:val="left"/>
              <w:rPr>
                <w:rFonts w:hAnsi="宋体"/>
                <w:sz w:val="18"/>
                <w:szCs w:val="18"/>
              </w:rPr>
            </w:pPr>
            <w:r>
              <w:rPr>
                <w:rFonts w:hint="eastAsia" w:hAnsi="宋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noWrap w:val="0"/>
            <w:vAlign w:val="center"/>
          </w:tcPr>
          <w:p>
            <w:pPr>
              <w:spacing w:line="400" w:lineRule="exact"/>
              <w:ind w:firstLine="28"/>
              <w:jc w:val="left"/>
              <w:rPr>
                <w:rFonts w:hAnsi="宋体"/>
                <w:sz w:val="18"/>
                <w:szCs w:val="18"/>
              </w:rPr>
            </w:pPr>
            <w:r>
              <w:rPr>
                <w:rFonts w:hint="eastAsia" w:hAnsi="宋体"/>
                <w:sz w:val="18"/>
                <w:szCs w:val="18"/>
              </w:rPr>
              <w:t>1</w:t>
            </w:r>
          </w:p>
        </w:tc>
        <w:tc>
          <w:tcPr>
            <w:tcW w:w="1119" w:type="dxa"/>
            <w:noWrap w:val="0"/>
            <w:vAlign w:val="center"/>
          </w:tcPr>
          <w:p>
            <w:pPr>
              <w:jc w:val="left"/>
              <w:rPr>
                <w:rFonts w:hAnsi="宋体"/>
                <w:sz w:val="18"/>
                <w:szCs w:val="18"/>
              </w:rPr>
            </w:pPr>
            <w:r>
              <w:rPr>
                <w:rFonts w:hint="eastAsia" w:hAnsi="宋体"/>
                <w:sz w:val="18"/>
                <w:szCs w:val="18"/>
              </w:rPr>
              <w:t>报价</w:t>
            </w:r>
            <w:r>
              <w:rPr>
                <w:rFonts w:hint="eastAsia" w:hAnsi="宋体"/>
                <w:sz w:val="18"/>
                <w:szCs w:val="18"/>
                <w:lang w:val="en-US" w:eastAsia="zh-CN"/>
              </w:rPr>
              <w:t>3</w:t>
            </w:r>
            <w:r>
              <w:rPr>
                <w:rFonts w:hAnsi="宋体"/>
                <w:sz w:val="18"/>
                <w:szCs w:val="18"/>
              </w:rPr>
              <w:t>0</w:t>
            </w:r>
            <w:r>
              <w:rPr>
                <w:rFonts w:hint="eastAsia" w:hAnsi="宋体"/>
                <w:sz w:val="18"/>
                <w:szCs w:val="18"/>
              </w:rPr>
              <w:t>%</w:t>
            </w:r>
          </w:p>
        </w:tc>
        <w:tc>
          <w:tcPr>
            <w:tcW w:w="663" w:type="dxa"/>
            <w:noWrap w:val="0"/>
            <w:vAlign w:val="center"/>
          </w:tcPr>
          <w:p>
            <w:pPr>
              <w:jc w:val="left"/>
              <w:rPr>
                <w:rFonts w:hAnsi="宋体"/>
                <w:sz w:val="18"/>
                <w:szCs w:val="18"/>
              </w:rPr>
            </w:pPr>
            <w:r>
              <w:rPr>
                <w:rFonts w:hint="eastAsia" w:hAnsi="宋体"/>
                <w:sz w:val="18"/>
                <w:szCs w:val="18"/>
                <w:lang w:val="en-US" w:eastAsia="zh-CN"/>
              </w:rPr>
              <w:t>3</w:t>
            </w:r>
            <w:r>
              <w:rPr>
                <w:rFonts w:hAnsi="宋体"/>
                <w:sz w:val="18"/>
                <w:szCs w:val="18"/>
              </w:rPr>
              <w:t>0</w:t>
            </w:r>
            <w:r>
              <w:rPr>
                <w:rFonts w:hint="eastAsia" w:hAnsi="宋体"/>
                <w:sz w:val="18"/>
                <w:szCs w:val="18"/>
              </w:rPr>
              <w:t>分</w:t>
            </w:r>
          </w:p>
        </w:tc>
        <w:tc>
          <w:tcPr>
            <w:tcW w:w="4299" w:type="dxa"/>
            <w:noWrap w:val="0"/>
            <w:vAlign w:val="center"/>
          </w:tcPr>
          <w:p>
            <w:pPr>
              <w:jc w:val="left"/>
              <w:rPr>
                <w:rFonts w:hAnsi="宋体"/>
                <w:sz w:val="18"/>
                <w:szCs w:val="18"/>
              </w:rPr>
            </w:pPr>
            <w:r>
              <w:rPr>
                <w:rFonts w:hint="eastAsia" w:hAnsi="宋体"/>
                <w:sz w:val="18"/>
                <w:szCs w:val="18"/>
              </w:rPr>
              <w:t xml:space="preserve">满足招标文件要求且投标价格最低的报价为基准价，其价格分为满分。其他中标商的价格分统一按照下列公式计算：报价得分=(基准价／报价)* </w:t>
            </w:r>
            <w:r>
              <w:rPr>
                <w:rFonts w:hint="eastAsia" w:hAnsi="宋体"/>
                <w:sz w:val="18"/>
                <w:szCs w:val="18"/>
                <w:lang w:val="en-US" w:eastAsia="zh-CN"/>
              </w:rPr>
              <w:t>3</w:t>
            </w:r>
            <w:r>
              <w:rPr>
                <w:rFonts w:hAnsi="宋体"/>
                <w:sz w:val="18"/>
                <w:szCs w:val="18"/>
              </w:rPr>
              <w:t>0</w:t>
            </w:r>
            <w:r>
              <w:rPr>
                <w:rFonts w:hint="eastAsia" w:hAnsi="宋体"/>
                <w:sz w:val="18"/>
                <w:szCs w:val="18"/>
              </w:rPr>
              <w:t>%*100</w:t>
            </w:r>
          </w:p>
        </w:tc>
        <w:tc>
          <w:tcPr>
            <w:tcW w:w="1417" w:type="dxa"/>
            <w:noWrap w:val="0"/>
            <w:vAlign w:val="center"/>
          </w:tcPr>
          <w:p>
            <w:pPr>
              <w:jc w:val="left"/>
              <w:rPr>
                <w:rFonts w:hAnsi="宋体"/>
                <w:sz w:val="18"/>
                <w:szCs w:val="18"/>
              </w:rPr>
            </w:pPr>
            <w:r>
              <w:rPr>
                <w:rFonts w:hint="eastAsia" w:hAnsi="宋体"/>
                <w:sz w:val="18"/>
                <w:szCs w:val="18"/>
              </w:rPr>
              <w:t>小微企业（监狱企业视同小微企业）价格扣除按照本招标文件投标须知前附表规定执行。</w:t>
            </w:r>
          </w:p>
        </w:tc>
        <w:tc>
          <w:tcPr>
            <w:tcW w:w="1063" w:type="dxa"/>
            <w:noWrap w:val="0"/>
            <w:vAlign w:val="center"/>
          </w:tcPr>
          <w:p>
            <w:pPr>
              <w:jc w:val="lef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noWrap w:val="0"/>
            <w:vAlign w:val="center"/>
          </w:tcPr>
          <w:p>
            <w:pPr>
              <w:spacing w:line="400" w:lineRule="exact"/>
              <w:ind w:firstLine="28"/>
              <w:jc w:val="left"/>
              <w:rPr>
                <w:rFonts w:hAnsi="宋体"/>
                <w:sz w:val="18"/>
                <w:szCs w:val="18"/>
              </w:rPr>
            </w:pPr>
            <w:r>
              <w:rPr>
                <w:rFonts w:hint="eastAsia" w:hAnsi="宋体"/>
                <w:sz w:val="18"/>
                <w:szCs w:val="18"/>
              </w:rPr>
              <w:t>2</w:t>
            </w:r>
          </w:p>
        </w:tc>
        <w:tc>
          <w:tcPr>
            <w:tcW w:w="1119" w:type="dxa"/>
            <w:noWrap w:val="0"/>
            <w:vAlign w:val="center"/>
          </w:tcPr>
          <w:p>
            <w:pPr>
              <w:jc w:val="left"/>
              <w:rPr>
                <w:rFonts w:hAnsi="宋体"/>
                <w:sz w:val="18"/>
                <w:szCs w:val="18"/>
              </w:rPr>
            </w:pPr>
            <w:r>
              <w:rPr>
                <w:rFonts w:hint="eastAsia" w:hAnsi="宋体"/>
                <w:sz w:val="18"/>
                <w:szCs w:val="18"/>
              </w:rPr>
              <w:t>技术、服务要求</w:t>
            </w:r>
            <w:r>
              <w:rPr>
                <w:rFonts w:hint="eastAsia" w:hAnsi="宋体"/>
                <w:sz w:val="18"/>
                <w:szCs w:val="18"/>
                <w:lang w:val="en-US" w:eastAsia="zh-CN"/>
              </w:rPr>
              <w:t>40</w:t>
            </w:r>
            <w:r>
              <w:rPr>
                <w:rFonts w:hint="eastAsia" w:hAnsi="宋体"/>
                <w:sz w:val="18"/>
                <w:szCs w:val="18"/>
              </w:rPr>
              <w:t>%</w:t>
            </w:r>
          </w:p>
        </w:tc>
        <w:tc>
          <w:tcPr>
            <w:tcW w:w="663" w:type="dxa"/>
            <w:noWrap w:val="0"/>
            <w:vAlign w:val="center"/>
          </w:tcPr>
          <w:p>
            <w:pPr>
              <w:jc w:val="left"/>
              <w:rPr>
                <w:rFonts w:hAnsi="宋体"/>
                <w:sz w:val="18"/>
                <w:szCs w:val="18"/>
              </w:rPr>
            </w:pPr>
            <w:r>
              <w:rPr>
                <w:rFonts w:hint="eastAsia" w:hAnsi="宋体"/>
                <w:sz w:val="18"/>
                <w:szCs w:val="18"/>
                <w:lang w:val="en-US" w:eastAsia="zh-CN"/>
              </w:rPr>
              <w:t>40</w:t>
            </w:r>
            <w:r>
              <w:rPr>
                <w:rFonts w:hint="eastAsia" w:hAnsi="宋体"/>
                <w:sz w:val="18"/>
                <w:szCs w:val="18"/>
              </w:rPr>
              <w:t>分</w:t>
            </w:r>
          </w:p>
        </w:tc>
        <w:tc>
          <w:tcPr>
            <w:tcW w:w="4299" w:type="dxa"/>
            <w:noWrap w:val="0"/>
            <w:vAlign w:val="center"/>
          </w:tcPr>
          <w:p>
            <w:pPr>
              <w:numPr>
                <w:ilvl w:val="0"/>
                <w:numId w:val="5"/>
              </w:numPr>
              <w:jc w:val="left"/>
              <w:rPr>
                <w:rFonts w:hint="eastAsia" w:hAnsi="宋体"/>
                <w:sz w:val="18"/>
                <w:szCs w:val="18"/>
                <w:lang w:val="en-US" w:eastAsia="zh-CN"/>
              </w:rPr>
            </w:pPr>
            <w:r>
              <w:rPr>
                <w:rFonts w:hint="eastAsia" w:hAnsi="宋体"/>
                <w:sz w:val="18"/>
                <w:szCs w:val="18"/>
                <w:lang w:val="en-US" w:eastAsia="zh-CN"/>
              </w:rPr>
              <w:t>对建设内容响应评分。缺少或偏离要求一项扣1分，本项共15分，扣完为止。</w:t>
            </w:r>
          </w:p>
          <w:p>
            <w:pPr>
              <w:numPr>
                <w:ilvl w:val="0"/>
                <w:numId w:val="6"/>
              </w:numPr>
              <w:jc w:val="left"/>
              <w:rPr>
                <w:rFonts w:hint="eastAsia" w:hAnsi="宋体"/>
                <w:sz w:val="18"/>
                <w:szCs w:val="18"/>
                <w:lang w:val="en-US" w:eastAsia="zh-CN"/>
              </w:rPr>
            </w:pPr>
            <w:r>
              <w:rPr>
                <w:rFonts w:hint="eastAsia" w:hAnsi="宋体"/>
                <w:sz w:val="18"/>
                <w:szCs w:val="18"/>
                <w:lang w:val="en-US" w:eastAsia="zh-CN"/>
              </w:rPr>
              <w:t>投标方数据与我院</w:t>
            </w:r>
            <w:r>
              <w:rPr>
                <w:rFonts w:hint="eastAsia" w:hAnsi="宋体"/>
                <w:sz w:val="18"/>
                <w:szCs w:val="18"/>
              </w:rPr>
              <w:t>“内部质量保证体系运行与诊改平台“</w:t>
            </w:r>
            <w:r>
              <w:rPr>
                <w:rFonts w:hint="eastAsia" w:hAnsi="宋体"/>
                <w:sz w:val="18"/>
                <w:szCs w:val="18"/>
                <w:lang w:val="en-US" w:eastAsia="zh-CN"/>
              </w:rPr>
              <w:t>对接解决方案10分。</w:t>
            </w:r>
          </w:p>
          <w:p>
            <w:pPr>
              <w:jc w:val="left"/>
              <w:rPr>
                <w:rFonts w:hAnsi="宋体"/>
                <w:sz w:val="18"/>
                <w:szCs w:val="18"/>
              </w:rPr>
            </w:pPr>
            <w:r>
              <w:rPr>
                <w:rFonts w:hint="eastAsia" w:hAnsi="宋体"/>
                <w:sz w:val="18"/>
                <w:szCs w:val="18"/>
                <w:lang w:val="en-US" w:eastAsia="zh-CN"/>
              </w:rPr>
              <w:t>3</w:t>
            </w:r>
            <w:r>
              <w:rPr>
                <w:rFonts w:hAnsi="宋体"/>
                <w:sz w:val="18"/>
                <w:szCs w:val="18"/>
              </w:rPr>
              <w:t>.</w:t>
            </w:r>
            <w:r>
              <w:rPr>
                <w:rFonts w:hint="eastAsia" w:hAnsi="宋体"/>
                <w:sz w:val="18"/>
                <w:szCs w:val="18"/>
              </w:rPr>
              <w:t xml:space="preserve"> 对“技术参数部分”条款进行响应打分，不响应或者负偏离1项扣</w:t>
            </w:r>
            <w:r>
              <w:rPr>
                <w:rFonts w:hAnsi="宋体"/>
                <w:sz w:val="18"/>
                <w:szCs w:val="18"/>
              </w:rPr>
              <w:t>1</w:t>
            </w:r>
            <w:r>
              <w:rPr>
                <w:rFonts w:hint="eastAsia" w:hAnsi="宋体"/>
                <w:sz w:val="18"/>
                <w:szCs w:val="18"/>
              </w:rPr>
              <w:t>分，本项共</w:t>
            </w:r>
            <w:r>
              <w:rPr>
                <w:rFonts w:hint="eastAsia" w:hAnsi="宋体"/>
                <w:sz w:val="18"/>
                <w:szCs w:val="18"/>
                <w:lang w:val="en-US" w:eastAsia="zh-CN"/>
              </w:rPr>
              <w:t>15</w:t>
            </w:r>
            <w:r>
              <w:rPr>
                <w:rFonts w:hint="eastAsia" w:hAnsi="宋体"/>
                <w:sz w:val="18"/>
                <w:szCs w:val="18"/>
              </w:rPr>
              <w:t>分，扣完为止。</w:t>
            </w:r>
          </w:p>
        </w:tc>
        <w:tc>
          <w:tcPr>
            <w:tcW w:w="1417" w:type="dxa"/>
            <w:noWrap w:val="0"/>
            <w:vAlign w:val="center"/>
          </w:tcPr>
          <w:p>
            <w:pPr>
              <w:jc w:val="left"/>
              <w:rPr>
                <w:rFonts w:hAnsi="宋体"/>
                <w:sz w:val="18"/>
                <w:szCs w:val="18"/>
              </w:rPr>
            </w:pPr>
          </w:p>
        </w:tc>
        <w:tc>
          <w:tcPr>
            <w:tcW w:w="1063" w:type="dxa"/>
            <w:noWrap w:val="0"/>
            <w:vAlign w:val="center"/>
          </w:tcPr>
          <w:p>
            <w:pPr>
              <w:jc w:val="lef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vMerge w:val="restart"/>
            <w:noWrap w:val="0"/>
            <w:vAlign w:val="center"/>
          </w:tcPr>
          <w:p>
            <w:pPr>
              <w:spacing w:line="400" w:lineRule="exact"/>
              <w:ind w:firstLine="28"/>
              <w:jc w:val="left"/>
              <w:rPr>
                <w:rFonts w:hAnsi="宋体"/>
                <w:sz w:val="18"/>
                <w:szCs w:val="18"/>
              </w:rPr>
            </w:pPr>
            <w:r>
              <w:rPr>
                <w:rFonts w:hint="eastAsia" w:hAnsi="宋体"/>
                <w:sz w:val="18"/>
                <w:szCs w:val="18"/>
              </w:rPr>
              <w:t>3</w:t>
            </w:r>
          </w:p>
        </w:tc>
        <w:tc>
          <w:tcPr>
            <w:tcW w:w="1119" w:type="dxa"/>
            <w:vMerge w:val="restart"/>
            <w:noWrap w:val="0"/>
            <w:vAlign w:val="center"/>
          </w:tcPr>
          <w:p>
            <w:pPr>
              <w:jc w:val="left"/>
              <w:rPr>
                <w:rFonts w:hAnsi="宋体"/>
                <w:sz w:val="18"/>
                <w:szCs w:val="18"/>
              </w:rPr>
            </w:pPr>
            <w:r>
              <w:rPr>
                <w:rFonts w:hint="eastAsia" w:hAnsi="宋体"/>
                <w:sz w:val="18"/>
                <w:szCs w:val="18"/>
              </w:rPr>
              <w:t>企业荣誉1</w:t>
            </w:r>
            <w:r>
              <w:rPr>
                <w:rFonts w:hint="eastAsia" w:hAnsi="宋体"/>
                <w:sz w:val="18"/>
                <w:szCs w:val="18"/>
                <w:lang w:val="en-US" w:eastAsia="zh-CN"/>
              </w:rPr>
              <w:t>0</w:t>
            </w:r>
            <w:r>
              <w:rPr>
                <w:rFonts w:hint="eastAsia" w:hAnsi="宋体"/>
                <w:sz w:val="18"/>
                <w:szCs w:val="18"/>
              </w:rPr>
              <w:t>%</w:t>
            </w:r>
          </w:p>
        </w:tc>
        <w:tc>
          <w:tcPr>
            <w:tcW w:w="663" w:type="dxa"/>
            <w:noWrap w:val="0"/>
            <w:vAlign w:val="center"/>
          </w:tcPr>
          <w:p>
            <w:pPr>
              <w:jc w:val="left"/>
              <w:rPr>
                <w:rFonts w:hAnsi="宋体"/>
                <w:sz w:val="18"/>
                <w:szCs w:val="18"/>
              </w:rPr>
            </w:pPr>
            <w:r>
              <w:rPr>
                <w:rFonts w:hint="eastAsia" w:hAnsi="宋体"/>
                <w:sz w:val="18"/>
                <w:szCs w:val="18"/>
                <w:lang w:val="en-US" w:eastAsia="zh-CN"/>
              </w:rPr>
              <w:t>8</w:t>
            </w:r>
            <w:r>
              <w:rPr>
                <w:rFonts w:hint="eastAsia" w:hAnsi="宋体"/>
                <w:sz w:val="18"/>
                <w:szCs w:val="18"/>
              </w:rPr>
              <w:t>分</w:t>
            </w:r>
          </w:p>
        </w:tc>
        <w:tc>
          <w:tcPr>
            <w:tcW w:w="4299" w:type="dxa"/>
            <w:noWrap w:val="0"/>
            <w:vAlign w:val="center"/>
          </w:tcPr>
          <w:p>
            <w:pPr>
              <w:jc w:val="left"/>
              <w:rPr>
                <w:rFonts w:hint="eastAsia" w:hAnsi="宋体" w:eastAsia="宋体"/>
                <w:sz w:val="18"/>
                <w:szCs w:val="18"/>
                <w:lang w:eastAsia="zh-CN"/>
              </w:rPr>
            </w:pPr>
            <w:r>
              <w:rPr>
                <w:rFonts w:hint="eastAsia" w:hAnsi="宋体"/>
                <w:sz w:val="18"/>
                <w:szCs w:val="18"/>
              </w:rPr>
              <w:t>1</w:t>
            </w:r>
            <w:r>
              <w:rPr>
                <w:rFonts w:hAnsi="宋体"/>
                <w:sz w:val="18"/>
                <w:szCs w:val="18"/>
              </w:rPr>
              <w:t>.</w:t>
            </w:r>
            <w:r>
              <w:rPr>
                <w:rFonts w:hint="eastAsia" w:hAnsi="宋体"/>
                <w:sz w:val="18"/>
                <w:szCs w:val="18"/>
              </w:rPr>
              <w:t>投标人需提供人力资源和社会保障部及其所属单位、工业和信息化部及其所属单位授予的软件相关资质证书或培训合格证书。（包括系统架构设计师、信息系统项目管理师、系统分析师、软件设计师、软件评测师、信息系统监理师、数据库系统工程师、信息系统管理工程师、软件设计工程师、软件开发工程师、软件培训工程师等）</w:t>
            </w:r>
            <w:r>
              <w:rPr>
                <w:rFonts w:hint="eastAsia" w:hAnsi="宋体"/>
                <w:sz w:val="18"/>
                <w:szCs w:val="18"/>
                <w:lang w:eastAsia="zh-CN"/>
              </w:rPr>
              <w:t>，</w:t>
            </w:r>
            <w:r>
              <w:rPr>
                <w:rFonts w:hint="eastAsia" w:hAnsi="宋体"/>
                <w:sz w:val="18"/>
                <w:szCs w:val="18"/>
              </w:rPr>
              <w:t>本项最高得</w:t>
            </w:r>
            <w:r>
              <w:rPr>
                <w:rFonts w:hint="eastAsia" w:hAnsi="宋体"/>
                <w:sz w:val="18"/>
                <w:szCs w:val="18"/>
                <w:lang w:val="en-US" w:eastAsia="zh-CN"/>
              </w:rPr>
              <w:t>2</w:t>
            </w:r>
            <w:r>
              <w:rPr>
                <w:rFonts w:hint="eastAsia" w:hAnsi="宋体"/>
                <w:sz w:val="18"/>
                <w:szCs w:val="18"/>
              </w:rPr>
              <w:t>分</w:t>
            </w:r>
            <w:r>
              <w:rPr>
                <w:rFonts w:hint="eastAsia" w:hAnsi="宋体"/>
                <w:sz w:val="18"/>
                <w:szCs w:val="18"/>
                <w:lang w:eastAsia="zh-CN"/>
              </w:rPr>
              <w:t>。</w:t>
            </w:r>
          </w:p>
          <w:p>
            <w:pPr>
              <w:rPr>
                <w:rFonts w:hint="eastAsia" w:hAnsi="宋体"/>
                <w:sz w:val="18"/>
                <w:szCs w:val="18"/>
              </w:rPr>
            </w:pPr>
            <w:r>
              <w:rPr>
                <w:rFonts w:hint="eastAsia" w:hAnsi="宋体"/>
                <w:sz w:val="18"/>
                <w:szCs w:val="18"/>
              </w:rPr>
              <w:t>a:每提供一份高级证书或证明材料得</w:t>
            </w:r>
            <w:r>
              <w:rPr>
                <w:rFonts w:hAnsi="宋体"/>
                <w:sz w:val="18"/>
                <w:szCs w:val="18"/>
              </w:rPr>
              <w:t>1</w:t>
            </w:r>
            <w:r>
              <w:rPr>
                <w:rFonts w:hint="eastAsia" w:hAnsi="宋体"/>
                <w:sz w:val="18"/>
                <w:szCs w:val="18"/>
              </w:rPr>
              <w:t>分；</w:t>
            </w:r>
          </w:p>
          <w:p>
            <w:pPr>
              <w:rPr>
                <w:rFonts w:hint="eastAsia" w:hAnsi="宋体" w:eastAsia="宋体"/>
                <w:sz w:val="18"/>
                <w:szCs w:val="18"/>
                <w:lang w:eastAsia="zh-CN"/>
              </w:rPr>
            </w:pPr>
            <w:r>
              <w:rPr>
                <w:rFonts w:hint="eastAsia" w:hAnsi="宋体"/>
                <w:sz w:val="18"/>
                <w:szCs w:val="18"/>
              </w:rPr>
              <w:t>b:每提供一份中级证书或证明材料得</w:t>
            </w:r>
            <w:r>
              <w:rPr>
                <w:rFonts w:hAnsi="宋体"/>
                <w:sz w:val="18"/>
                <w:szCs w:val="18"/>
              </w:rPr>
              <w:t>0.5</w:t>
            </w:r>
            <w:r>
              <w:rPr>
                <w:rFonts w:hint="eastAsia" w:hAnsi="宋体"/>
                <w:sz w:val="18"/>
                <w:szCs w:val="18"/>
              </w:rPr>
              <w:t>分</w:t>
            </w:r>
            <w:r>
              <w:rPr>
                <w:rFonts w:hint="eastAsia" w:hAnsi="宋体"/>
                <w:sz w:val="18"/>
                <w:szCs w:val="18"/>
                <w:lang w:eastAsia="zh-CN"/>
              </w:rPr>
              <w:t>。</w:t>
            </w:r>
          </w:p>
          <w:p>
            <w:pPr>
              <w:rPr>
                <w:rFonts w:hAnsi="宋体"/>
                <w:sz w:val="18"/>
                <w:szCs w:val="18"/>
              </w:rPr>
            </w:pPr>
            <w:r>
              <w:rPr>
                <w:rFonts w:hAnsi="宋体"/>
                <w:sz w:val="18"/>
                <w:szCs w:val="18"/>
              </w:rPr>
              <w:t>2</w:t>
            </w:r>
            <w:r>
              <w:rPr>
                <w:rFonts w:hint="eastAsia" w:hAnsi="宋体"/>
                <w:sz w:val="18"/>
                <w:szCs w:val="18"/>
              </w:rPr>
              <w:t>．中标商具有ISO9001质量管理体系、ISO20000信息技术服务管理体系和ISO45001职业健康安全管理体系资质认证证书，每提供1个证书得</w:t>
            </w:r>
            <w:r>
              <w:rPr>
                <w:rFonts w:hAnsi="宋体"/>
                <w:sz w:val="18"/>
                <w:szCs w:val="18"/>
              </w:rPr>
              <w:t>1</w:t>
            </w:r>
            <w:r>
              <w:rPr>
                <w:rFonts w:hint="eastAsia" w:hAnsi="宋体"/>
                <w:sz w:val="18"/>
                <w:szCs w:val="18"/>
              </w:rPr>
              <w:t>分，最多得</w:t>
            </w:r>
            <w:r>
              <w:rPr>
                <w:rFonts w:hint="eastAsia" w:hAnsi="宋体"/>
                <w:sz w:val="18"/>
                <w:szCs w:val="18"/>
                <w:lang w:val="en-US" w:eastAsia="zh-CN"/>
              </w:rPr>
              <w:t>2</w:t>
            </w:r>
            <w:r>
              <w:rPr>
                <w:rFonts w:hint="eastAsia" w:hAnsi="宋体"/>
                <w:sz w:val="18"/>
                <w:szCs w:val="18"/>
              </w:rPr>
              <w:t>分。（提供复印件并加盖公章）</w:t>
            </w:r>
          </w:p>
          <w:p>
            <w:pPr>
              <w:rPr>
                <w:rFonts w:hAnsi="宋体"/>
                <w:sz w:val="18"/>
                <w:szCs w:val="18"/>
              </w:rPr>
            </w:pPr>
            <w:r>
              <w:rPr>
                <w:rFonts w:hAnsi="宋体"/>
                <w:sz w:val="18"/>
                <w:szCs w:val="18"/>
              </w:rPr>
              <w:t>3</w:t>
            </w:r>
            <w:r>
              <w:rPr>
                <w:rFonts w:hint="eastAsia" w:hAnsi="宋体"/>
                <w:sz w:val="18"/>
                <w:szCs w:val="18"/>
              </w:rPr>
              <w:t>．中标商具有开展计算机应用软件开发、计算机信息系统集成和计算机软硬件运维服务三个方向信息安全管理活动的ISO27001信息安全管理体系认证资质证书，每提供1个方向得</w:t>
            </w:r>
            <w:r>
              <w:rPr>
                <w:rFonts w:hAnsi="宋体"/>
                <w:sz w:val="18"/>
                <w:szCs w:val="18"/>
              </w:rPr>
              <w:t>1</w:t>
            </w:r>
            <w:r>
              <w:rPr>
                <w:rFonts w:hint="eastAsia" w:hAnsi="宋体"/>
                <w:sz w:val="18"/>
                <w:szCs w:val="18"/>
              </w:rPr>
              <w:t>分，最多得</w:t>
            </w:r>
            <w:r>
              <w:rPr>
                <w:rFonts w:hint="eastAsia" w:hAnsi="宋体"/>
                <w:sz w:val="18"/>
                <w:szCs w:val="18"/>
                <w:lang w:val="en-US" w:eastAsia="zh-CN"/>
              </w:rPr>
              <w:t>2</w:t>
            </w:r>
            <w:r>
              <w:rPr>
                <w:rFonts w:hint="eastAsia" w:hAnsi="宋体"/>
                <w:sz w:val="18"/>
                <w:szCs w:val="18"/>
              </w:rPr>
              <w:t>分。（提供复印件并加盖公章）</w:t>
            </w:r>
          </w:p>
          <w:p>
            <w:pPr>
              <w:jc w:val="left"/>
              <w:rPr>
                <w:rFonts w:hAnsi="宋体"/>
                <w:sz w:val="18"/>
                <w:szCs w:val="18"/>
              </w:rPr>
            </w:pPr>
            <w:r>
              <w:rPr>
                <w:rFonts w:hAnsi="宋体"/>
                <w:sz w:val="18"/>
                <w:szCs w:val="18"/>
              </w:rPr>
              <w:t>4</w:t>
            </w:r>
            <w:r>
              <w:rPr>
                <w:rFonts w:hint="eastAsia" w:hAnsi="宋体"/>
                <w:sz w:val="18"/>
                <w:szCs w:val="18"/>
              </w:rPr>
              <w:t>．中标商具有中国网络安全审查技术与认证中心颁发的软件安全开发服务、信息系统安全集成服务和信息系统安全运维服务三个方向的信息安全服务资质证书，每提供1个证书得</w:t>
            </w:r>
            <w:r>
              <w:rPr>
                <w:rFonts w:hAnsi="宋体"/>
                <w:sz w:val="18"/>
                <w:szCs w:val="18"/>
              </w:rPr>
              <w:t>1</w:t>
            </w:r>
            <w:r>
              <w:rPr>
                <w:rFonts w:hint="eastAsia" w:hAnsi="宋体"/>
                <w:sz w:val="18"/>
                <w:szCs w:val="18"/>
              </w:rPr>
              <w:t>分，最多得</w:t>
            </w:r>
            <w:r>
              <w:rPr>
                <w:rFonts w:hint="eastAsia" w:hAnsi="宋体"/>
                <w:sz w:val="18"/>
                <w:szCs w:val="18"/>
                <w:lang w:val="en-US" w:eastAsia="zh-CN"/>
              </w:rPr>
              <w:t>2</w:t>
            </w:r>
            <w:r>
              <w:rPr>
                <w:rFonts w:hint="eastAsia" w:hAnsi="宋体"/>
                <w:sz w:val="18"/>
                <w:szCs w:val="18"/>
              </w:rPr>
              <w:t>分。（提供复印件并加盖公章）</w:t>
            </w:r>
          </w:p>
        </w:tc>
        <w:tc>
          <w:tcPr>
            <w:tcW w:w="1417" w:type="dxa"/>
            <w:noWrap w:val="0"/>
            <w:vAlign w:val="center"/>
          </w:tcPr>
          <w:p>
            <w:pPr>
              <w:jc w:val="center"/>
              <w:rPr>
                <w:rFonts w:hint="eastAsia" w:hAnsi="宋体"/>
                <w:sz w:val="18"/>
                <w:szCs w:val="18"/>
              </w:rPr>
            </w:pPr>
            <w:r>
              <w:rPr>
                <w:rFonts w:hint="eastAsia" w:hAnsi="宋体"/>
                <w:sz w:val="18"/>
                <w:szCs w:val="18"/>
              </w:rPr>
              <w:t>人员的资质证书，请提供人员数量、姓名及在投标单位证明，以加盖投标单位公章的复印件为准。不能提供证明材料的得0分。</w:t>
            </w:r>
          </w:p>
        </w:tc>
        <w:tc>
          <w:tcPr>
            <w:tcW w:w="1063" w:type="dxa"/>
            <w:noWrap w:val="0"/>
            <w:vAlign w:val="center"/>
          </w:tcPr>
          <w:p>
            <w:pPr>
              <w:jc w:val="lef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vMerge w:val="continue"/>
            <w:noWrap w:val="0"/>
            <w:vAlign w:val="center"/>
          </w:tcPr>
          <w:p>
            <w:pPr>
              <w:spacing w:line="400" w:lineRule="exact"/>
              <w:ind w:firstLine="28"/>
              <w:jc w:val="left"/>
              <w:rPr>
                <w:rFonts w:hAnsi="宋体"/>
                <w:sz w:val="18"/>
                <w:szCs w:val="18"/>
              </w:rPr>
            </w:pPr>
          </w:p>
        </w:tc>
        <w:tc>
          <w:tcPr>
            <w:tcW w:w="1119" w:type="dxa"/>
            <w:vMerge w:val="continue"/>
            <w:noWrap w:val="0"/>
            <w:vAlign w:val="center"/>
          </w:tcPr>
          <w:p>
            <w:pPr>
              <w:jc w:val="left"/>
              <w:rPr>
                <w:rFonts w:hAnsi="宋体"/>
                <w:sz w:val="18"/>
                <w:szCs w:val="18"/>
              </w:rPr>
            </w:pPr>
          </w:p>
        </w:tc>
        <w:tc>
          <w:tcPr>
            <w:tcW w:w="663" w:type="dxa"/>
            <w:noWrap w:val="0"/>
            <w:vAlign w:val="center"/>
          </w:tcPr>
          <w:p>
            <w:pPr>
              <w:jc w:val="left"/>
              <w:rPr>
                <w:rFonts w:hAnsi="宋体"/>
                <w:sz w:val="18"/>
                <w:szCs w:val="18"/>
              </w:rPr>
            </w:pPr>
            <w:r>
              <w:rPr>
                <w:rFonts w:hint="eastAsia" w:hAnsi="宋体"/>
                <w:sz w:val="18"/>
                <w:szCs w:val="18"/>
                <w:lang w:val="en-US" w:eastAsia="zh-CN"/>
              </w:rPr>
              <w:t>2</w:t>
            </w:r>
            <w:r>
              <w:rPr>
                <w:rFonts w:hint="eastAsia" w:hAnsi="宋体"/>
                <w:sz w:val="18"/>
                <w:szCs w:val="18"/>
              </w:rPr>
              <w:t>分</w:t>
            </w:r>
          </w:p>
        </w:tc>
        <w:tc>
          <w:tcPr>
            <w:tcW w:w="4299" w:type="dxa"/>
            <w:noWrap w:val="0"/>
            <w:vAlign w:val="center"/>
          </w:tcPr>
          <w:p>
            <w:pPr>
              <w:jc w:val="left"/>
              <w:rPr>
                <w:rFonts w:hAnsi="宋体"/>
                <w:sz w:val="18"/>
                <w:szCs w:val="18"/>
              </w:rPr>
            </w:pPr>
            <w:r>
              <w:rPr>
                <w:rFonts w:hint="eastAsia" w:hAnsi="宋体"/>
                <w:sz w:val="18"/>
                <w:szCs w:val="18"/>
              </w:rPr>
              <w:t>评标委员会根据中标商同类产品销售业绩（</w:t>
            </w:r>
            <w:r>
              <w:rPr>
                <w:rFonts w:hAnsi="宋体"/>
                <w:sz w:val="18"/>
                <w:szCs w:val="18"/>
              </w:rPr>
              <w:t>2017</w:t>
            </w:r>
            <w:r>
              <w:rPr>
                <w:rFonts w:hint="eastAsia" w:hAnsi="宋体"/>
                <w:sz w:val="18"/>
                <w:szCs w:val="18"/>
              </w:rPr>
              <w:t>年1月1日-至递交投标文件截止日）进行评定，每提供</w:t>
            </w:r>
            <w:r>
              <w:rPr>
                <w:rFonts w:hAnsi="宋体"/>
                <w:sz w:val="18"/>
                <w:szCs w:val="18"/>
              </w:rPr>
              <w:t>一个业绩得</w:t>
            </w:r>
            <w:r>
              <w:rPr>
                <w:rFonts w:hint="eastAsia" w:hAnsi="宋体"/>
                <w:sz w:val="18"/>
                <w:szCs w:val="18"/>
              </w:rPr>
              <w:t>1分</w:t>
            </w:r>
            <w:r>
              <w:rPr>
                <w:rFonts w:hAnsi="宋体"/>
                <w:sz w:val="18"/>
                <w:szCs w:val="18"/>
              </w:rPr>
              <w:t>，最多得</w:t>
            </w:r>
            <w:r>
              <w:rPr>
                <w:rFonts w:hint="eastAsia" w:hAnsi="宋体"/>
                <w:sz w:val="18"/>
                <w:szCs w:val="18"/>
                <w:lang w:val="en-US" w:eastAsia="zh-CN"/>
              </w:rPr>
              <w:t>2</w:t>
            </w:r>
            <w:r>
              <w:rPr>
                <w:rFonts w:hint="eastAsia" w:hAnsi="宋体"/>
                <w:sz w:val="18"/>
                <w:szCs w:val="18"/>
              </w:rPr>
              <w:t>分。</w:t>
            </w:r>
          </w:p>
        </w:tc>
        <w:tc>
          <w:tcPr>
            <w:tcW w:w="1417" w:type="dxa"/>
            <w:noWrap w:val="0"/>
            <w:vAlign w:val="center"/>
          </w:tcPr>
          <w:p>
            <w:pPr>
              <w:jc w:val="left"/>
              <w:rPr>
                <w:rFonts w:hAnsi="宋体"/>
                <w:sz w:val="18"/>
                <w:szCs w:val="18"/>
              </w:rPr>
            </w:pPr>
            <w:r>
              <w:rPr>
                <w:rFonts w:hint="eastAsia" w:hAnsi="宋体"/>
                <w:sz w:val="18"/>
                <w:szCs w:val="18"/>
              </w:rPr>
              <w:t>提供销售合同复印件（盖投标公司鲜章）</w:t>
            </w:r>
          </w:p>
        </w:tc>
        <w:tc>
          <w:tcPr>
            <w:tcW w:w="1063" w:type="dxa"/>
            <w:noWrap w:val="0"/>
            <w:vAlign w:val="center"/>
          </w:tcPr>
          <w:p>
            <w:pPr>
              <w:jc w:val="lef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noWrap w:val="0"/>
            <w:vAlign w:val="center"/>
          </w:tcPr>
          <w:p>
            <w:pPr>
              <w:spacing w:line="400" w:lineRule="exact"/>
              <w:ind w:firstLine="28"/>
              <w:jc w:val="left"/>
              <w:rPr>
                <w:rFonts w:hAnsi="宋体"/>
                <w:sz w:val="18"/>
                <w:szCs w:val="18"/>
              </w:rPr>
            </w:pPr>
            <w:r>
              <w:rPr>
                <w:rFonts w:hint="eastAsia" w:hAnsi="宋体"/>
                <w:sz w:val="18"/>
                <w:szCs w:val="18"/>
              </w:rPr>
              <w:t>4</w:t>
            </w:r>
          </w:p>
        </w:tc>
        <w:tc>
          <w:tcPr>
            <w:tcW w:w="1119" w:type="dxa"/>
            <w:noWrap w:val="0"/>
            <w:vAlign w:val="center"/>
          </w:tcPr>
          <w:p>
            <w:pPr>
              <w:jc w:val="left"/>
              <w:rPr>
                <w:rFonts w:hAnsi="宋体"/>
                <w:sz w:val="18"/>
                <w:szCs w:val="18"/>
              </w:rPr>
            </w:pPr>
            <w:r>
              <w:rPr>
                <w:rFonts w:hint="eastAsia" w:hAnsi="宋体"/>
                <w:sz w:val="18"/>
                <w:szCs w:val="18"/>
              </w:rPr>
              <w:t>项目实施与售后服务</w:t>
            </w:r>
            <w:r>
              <w:rPr>
                <w:rFonts w:hint="eastAsia" w:hAnsi="宋体"/>
                <w:sz w:val="18"/>
                <w:szCs w:val="18"/>
                <w:lang w:val="en-US" w:eastAsia="zh-CN"/>
              </w:rPr>
              <w:t>18</w:t>
            </w:r>
            <w:r>
              <w:rPr>
                <w:rFonts w:hint="eastAsia" w:hAnsi="宋体"/>
                <w:sz w:val="18"/>
                <w:szCs w:val="18"/>
              </w:rPr>
              <w:t>%</w:t>
            </w:r>
          </w:p>
        </w:tc>
        <w:tc>
          <w:tcPr>
            <w:tcW w:w="663" w:type="dxa"/>
            <w:noWrap w:val="0"/>
            <w:vAlign w:val="center"/>
          </w:tcPr>
          <w:p>
            <w:pPr>
              <w:jc w:val="left"/>
              <w:rPr>
                <w:rFonts w:hAnsi="宋体"/>
                <w:sz w:val="18"/>
                <w:szCs w:val="18"/>
              </w:rPr>
            </w:pPr>
            <w:r>
              <w:rPr>
                <w:rFonts w:hAnsi="宋体"/>
                <w:sz w:val="18"/>
                <w:szCs w:val="18"/>
              </w:rPr>
              <w:t>1</w:t>
            </w:r>
            <w:r>
              <w:rPr>
                <w:rFonts w:hint="eastAsia" w:hAnsi="宋体"/>
                <w:sz w:val="18"/>
                <w:szCs w:val="18"/>
              </w:rPr>
              <w:t>8分</w:t>
            </w:r>
          </w:p>
        </w:tc>
        <w:tc>
          <w:tcPr>
            <w:tcW w:w="4299" w:type="dxa"/>
            <w:noWrap w:val="0"/>
            <w:vAlign w:val="center"/>
          </w:tcPr>
          <w:p>
            <w:pPr>
              <w:ind w:firstLine="360" w:firstLineChars="200"/>
              <w:rPr>
                <w:rFonts w:hint="eastAsia" w:hAnsi="宋体"/>
                <w:sz w:val="18"/>
                <w:szCs w:val="18"/>
              </w:rPr>
            </w:pPr>
            <w:r>
              <w:rPr>
                <w:rFonts w:hint="eastAsia" w:hAnsi="宋体"/>
                <w:sz w:val="18"/>
                <w:szCs w:val="18"/>
              </w:rPr>
              <w:t>1</w:t>
            </w:r>
            <w:r>
              <w:rPr>
                <w:rFonts w:hAnsi="宋体"/>
                <w:sz w:val="18"/>
                <w:szCs w:val="18"/>
              </w:rPr>
              <w:t>.</w:t>
            </w:r>
            <w:r>
              <w:rPr>
                <w:rFonts w:hint="eastAsia" w:hAnsi="宋体"/>
                <w:sz w:val="18"/>
                <w:szCs w:val="18"/>
              </w:rPr>
              <w:t>提供项目实施方案，包括且不限于：人员安排，质量保证、系统部署、安装调试、工期保证、项目验收等进行评定。完全具备上述要点并且措施详尽、清晰、有条理，可实施性强且满足本项目需求的得</w:t>
            </w:r>
            <w:r>
              <w:rPr>
                <w:rFonts w:hAnsi="宋体"/>
                <w:sz w:val="18"/>
                <w:szCs w:val="18"/>
              </w:rPr>
              <w:t>10</w:t>
            </w:r>
            <w:r>
              <w:rPr>
                <w:rFonts w:hint="eastAsia" w:hAnsi="宋体"/>
                <w:sz w:val="18"/>
                <w:szCs w:val="18"/>
              </w:rPr>
              <w:t>分；缺少1项或某1项不完整不合理或缺乏可操作性或不符合本项目实际情况的扣1分，本项扣完为止，未提供的不得分；</w:t>
            </w:r>
          </w:p>
          <w:p>
            <w:pPr>
              <w:ind w:firstLine="360" w:firstLineChars="200"/>
              <w:rPr>
                <w:rFonts w:hint="eastAsia" w:hAnsi="宋体"/>
                <w:sz w:val="18"/>
                <w:szCs w:val="18"/>
              </w:rPr>
            </w:pPr>
            <w:r>
              <w:rPr>
                <w:rFonts w:hint="eastAsia" w:hAnsi="宋体"/>
                <w:sz w:val="18"/>
                <w:szCs w:val="18"/>
              </w:rPr>
              <w:t>2</w:t>
            </w:r>
            <w:r>
              <w:rPr>
                <w:rFonts w:hAnsi="宋体"/>
                <w:sz w:val="18"/>
                <w:szCs w:val="18"/>
              </w:rPr>
              <w:t>.</w:t>
            </w:r>
            <w:r>
              <w:rPr>
                <w:rFonts w:hint="eastAsia" w:hAnsi="宋体"/>
                <w:sz w:val="18"/>
                <w:szCs w:val="18"/>
              </w:rPr>
              <w:t>提供项目的培训方案，包括但不限于：培训的内容范围、培训方式、培训人员数量、培训时间安排、培训目标和任务等，评标专家根据培训方案的质量进行评分：培训方案完整详细得</w:t>
            </w:r>
            <w:r>
              <w:rPr>
                <w:rFonts w:hAnsi="宋体"/>
                <w:sz w:val="18"/>
                <w:szCs w:val="18"/>
              </w:rPr>
              <w:t>4</w:t>
            </w:r>
            <w:r>
              <w:rPr>
                <w:rFonts w:hint="eastAsia" w:hAnsi="宋体"/>
                <w:sz w:val="18"/>
                <w:szCs w:val="18"/>
              </w:rPr>
              <w:t>分，不完整或描述不清楚得1分，不提供不得分。</w:t>
            </w:r>
          </w:p>
          <w:p>
            <w:pPr>
              <w:ind w:firstLine="360" w:firstLineChars="200"/>
              <w:rPr>
                <w:rFonts w:hint="eastAsia" w:hAnsi="宋体"/>
                <w:sz w:val="18"/>
                <w:szCs w:val="18"/>
              </w:rPr>
            </w:pPr>
            <w:r>
              <w:rPr>
                <w:rFonts w:hAnsi="宋体"/>
                <w:sz w:val="18"/>
                <w:szCs w:val="18"/>
              </w:rPr>
              <w:t>3.</w:t>
            </w:r>
            <w:r>
              <w:rPr>
                <w:rFonts w:hint="eastAsia" w:hAnsi="宋体"/>
                <w:sz w:val="18"/>
                <w:szCs w:val="18"/>
              </w:rPr>
              <w:t>提供售后服务方案、日常维护方案、应急方案，评标专家根据提供售后服务方案的质量进行评分：完全符合甲方实际需求得</w:t>
            </w:r>
            <w:r>
              <w:rPr>
                <w:rFonts w:hAnsi="宋体"/>
                <w:sz w:val="18"/>
                <w:szCs w:val="18"/>
              </w:rPr>
              <w:t>4</w:t>
            </w:r>
            <w:r>
              <w:rPr>
                <w:rFonts w:hint="eastAsia" w:hAnsi="宋体"/>
                <w:sz w:val="18"/>
                <w:szCs w:val="18"/>
              </w:rPr>
              <w:t>分，基本符合实际需求得</w:t>
            </w:r>
            <w:r>
              <w:rPr>
                <w:rFonts w:hAnsi="宋体"/>
                <w:sz w:val="18"/>
                <w:szCs w:val="18"/>
              </w:rPr>
              <w:t>2</w:t>
            </w:r>
            <w:r>
              <w:rPr>
                <w:rFonts w:hint="eastAsia" w:hAnsi="宋体"/>
                <w:sz w:val="18"/>
                <w:szCs w:val="18"/>
              </w:rPr>
              <w:t>分，不提供不得分。</w:t>
            </w:r>
          </w:p>
        </w:tc>
        <w:tc>
          <w:tcPr>
            <w:tcW w:w="1417" w:type="dxa"/>
            <w:noWrap w:val="0"/>
            <w:vAlign w:val="center"/>
          </w:tcPr>
          <w:p>
            <w:pPr>
              <w:jc w:val="left"/>
              <w:rPr>
                <w:rFonts w:hAnsi="宋体"/>
                <w:sz w:val="18"/>
                <w:szCs w:val="18"/>
              </w:rPr>
            </w:pPr>
          </w:p>
        </w:tc>
        <w:tc>
          <w:tcPr>
            <w:tcW w:w="1063" w:type="dxa"/>
            <w:noWrap w:val="0"/>
            <w:vAlign w:val="center"/>
          </w:tcPr>
          <w:p>
            <w:pPr>
              <w:jc w:val="lef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6" w:type="dxa"/>
            <w:noWrap w:val="0"/>
            <w:vAlign w:val="center"/>
          </w:tcPr>
          <w:p>
            <w:pPr>
              <w:spacing w:line="400" w:lineRule="exact"/>
              <w:ind w:firstLine="28"/>
              <w:jc w:val="left"/>
              <w:rPr>
                <w:rFonts w:hAnsi="宋体"/>
                <w:sz w:val="18"/>
                <w:szCs w:val="18"/>
              </w:rPr>
            </w:pPr>
            <w:r>
              <w:rPr>
                <w:rFonts w:hint="eastAsia" w:hAnsi="宋体"/>
                <w:sz w:val="18"/>
                <w:szCs w:val="18"/>
              </w:rPr>
              <w:t>5</w:t>
            </w:r>
          </w:p>
        </w:tc>
        <w:tc>
          <w:tcPr>
            <w:tcW w:w="1119" w:type="dxa"/>
            <w:noWrap w:val="0"/>
            <w:vAlign w:val="center"/>
          </w:tcPr>
          <w:p>
            <w:pPr>
              <w:jc w:val="left"/>
              <w:rPr>
                <w:rFonts w:hAnsi="宋体"/>
                <w:sz w:val="18"/>
                <w:szCs w:val="18"/>
              </w:rPr>
            </w:pPr>
            <w:r>
              <w:rPr>
                <w:rFonts w:hint="eastAsia" w:hAnsi="宋体"/>
                <w:sz w:val="18"/>
                <w:szCs w:val="18"/>
              </w:rPr>
              <w:t>投标文件的规范性2%</w:t>
            </w:r>
          </w:p>
        </w:tc>
        <w:tc>
          <w:tcPr>
            <w:tcW w:w="663" w:type="dxa"/>
            <w:noWrap w:val="0"/>
            <w:vAlign w:val="center"/>
          </w:tcPr>
          <w:p>
            <w:pPr>
              <w:jc w:val="left"/>
              <w:rPr>
                <w:rFonts w:hAnsi="宋体"/>
                <w:sz w:val="18"/>
                <w:szCs w:val="18"/>
              </w:rPr>
            </w:pPr>
            <w:r>
              <w:rPr>
                <w:rFonts w:hint="eastAsia" w:hAnsi="宋体"/>
                <w:sz w:val="18"/>
                <w:szCs w:val="18"/>
              </w:rPr>
              <w:t>2分</w:t>
            </w:r>
          </w:p>
        </w:tc>
        <w:tc>
          <w:tcPr>
            <w:tcW w:w="4299" w:type="dxa"/>
            <w:noWrap w:val="0"/>
            <w:vAlign w:val="center"/>
          </w:tcPr>
          <w:p>
            <w:pPr>
              <w:jc w:val="left"/>
              <w:rPr>
                <w:rFonts w:hAnsi="宋体"/>
                <w:sz w:val="18"/>
                <w:szCs w:val="18"/>
              </w:rPr>
            </w:pPr>
            <w:r>
              <w:rPr>
                <w:rFonts w:hint="eastAsia" w:hAnsi="宋体"/>
                <w:sz w:val="18"/>
                <w:szCs w:val="18"/>
              </w:rPr>
              <w:t>投标文件制作规范，没有细微偏差情形的得2分；有一项细微偏差扣1分，直至该项分值扣完为止。</w:t>
            </w:r>
          </w:p>
        </w:tc>
        <w:tc>
          <w:tcPr>
            <w:tcW w:w="1417" w:type="dxa"/>
            <w:noWrap w:val="0"/>
            <w:vAlign w:val="center"/>
          </w:tcPr>
          <w:p>
            <w:pPr>
              <w:jc w:val="left"/>
              <w:rPr>
                <w:rFonts w:hAnsi="宋体"/>
                <w:sz w:val="18"/>
                <w:szCs w:val="18"/>
              </w:rPr>
            </w:pPr>
          </w:p>
        </w:tc>
        <w:tc>
          <w:tcPr>
            <w:tcW w:w="1063" w:type="dxa"/>
            <w:noWrap w:val="0"/>
            <w:vAlign w:val="center"/>
          </w:tcPr>
          <w:p>
            <w:pPr>
              <w:jc w:val="left"/>
              <w:rPr>
                <w:rFonts w:hAnsi="宋体"/>
                <w:sz w:val="18"/>
                <w:szCs w:val="18"/>
              </w:rPr>
            </w:pPr>
          </w:p>
        </w:tc>
      </w:tr>
    </w:tbl>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rPr>
          <w:rFonts w:hint="eastAsia" w:ascii="Times New Roman" w:hAnsi="Times New Roman" w:eastAsia="宋体"/>
        </w:rPr>
      </w:pPr>
    </w:p>
    <w:p>
      <w:pPr>
        <w:pStyle w:val="2"/>
        <w:snapToGrid w:val="0"/>
        <w:spacing w:before="0" w:after="0" w:line="240" w:lineRule="auto"/>
        <w:jc w:val="both"/>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p>
      <w:pPr>
        <w:rPr>
          <w:rFonts w:hint="eastAsia" w:hAnsi="宋体" w:cs="宋体"/>
          <w:sz w:val="30"/>
          <w:szCs w:val="30"/>
        </w:rPr>
      </w:pPr>
    </w:p>
    <w:bookmarkEnd w:id="41"/>
    <w:bookmarkEnd w:id="42"/>
    <w:p>
      <w:pPr>
        <w:pStyle w:val="2"/>
        <w:numPr>
          <w:ilvl w:val="0"/>
          <w:numId w:val="0"/>
        </w:numPr>
        <w:snapToGrid w:val="0"/>
        <w:spacing w:before="0" w:after="0" w:line="360" w:lineRule="auto"/>
        <w:ind w:leftChars="0"/>
        <w:jc w:val="center"/>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sz w:val="24"/>
          <w:szCs w:val="24"/>
          <w:lang w:val="en-US" w:eastAsia="zh-CN" w:bidi="ar-SA"/>
        </w:rPr>
        <w:t>（供参考）</w:t>
      </w:r>
    </w:p>
    <w:p>
      <w:pPr>
        <w:snapToGrid w:val="0"/>
        <w:spacing w:line="360" w:lineRule="auto"/>
        <w:ind w:left="324" w:hanging="324" w:hangingChars="135"/>
        <w:rPr>
          <w:rFonts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Ansi="宋体" w:cs="宋体"/>
          <w:sz w:val="24"/>
          <w:szCs w:val="24"/>
        </w:rPr>
      </w:pPr>
      <w:r>
        <w:rPr>
          <w:rFonts w:hint="eastAsia" w:hAnsi="宋体" w:cs="宋体"/>
          <w:sz w:val="24"/>
          <w:szCs w:val="24"/>
        </w:rPr>
        <w:t>采购人（甲方）：</w:t>
      </w:r>
    </w:p>
    <w:p>
      <w:pPr>
        <w:snapToGrid w:val="0"/>
        <w:spacing w:line="360" w:lineRule="auto"/>
        <w:ind w:left="324" w:hanging="324" w:hangingChars="135"/>
        <w:rPr>
          <w:rFonts w:hAnsi="宋体" w:cs="宋体"/>
          <w:sz w:val="24"/>
          <w:szCs w:val="24"/>
        </w:rPr>
      </w:pPr>
      <w:r>
        <w:rPr>
          <w:rFonts w:hint="eastAsia" w:hAnsi="宋体" w:cs="宋体"/>
          <w:sz w:val="24"/>
          <w:szCs w:val="24"/>
        </w:rPr>
        <w:t>供应商（乙方）：</w:t>
      </w:r>
    </w:p>
    <w:p>
      <w:pPr>
        <w:snapToGrid w:val="0"/>
        <w:spacing w:line="360" w:lineRule="auto"/>
        <w:rPr>
          <w:rFonts w:hAnsi="宋体" w:cs="宋体"/>
          <w:sz w:val="24"/>
          <w:szCs w:val="24"/>
        </w:rPr>
      </w:pPr>
    </w:p>
    <w:p>
      <w:pPr>
        <w:pStyle w:val="67"/>
        <w:snapToGrid w:val="0"/>
        <w:spacing w:line="360" w:lineRule="auto"/>
        <w:ind w:firstLine="480"/>
        <w:rPr>
          <w:rFonts w:hAnsi="宋体"/>
          <w:szCs w:val="24"/>
        </w:rPr>
      </w:pPr>
      <w:r>
        <w:rPr>
          <w:rFonts w:hint="eastAsia" w:hAnsi="宋体"/>
          <w:szCs w:val="24"/>
        </w:rPr>
        <w:t>根据《中华人民共和国合同法》及XX采购人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3"/>
        <w:snapToGrid w:val="0"/>
        <w:spacing w:before="0" w:after="0" w:line="360" w:lineRule="auto"/>
        <w:ind w:firstLine="482" w:firstLineChars="200"/>
        <w:rPr>
          <w:rFonts w:ascii="宋体" w:hAnsi="宋体" w:eastAsia="宋体" w:cs="宋体"/>
          <w:sz w:val="24"/>
          <w:szCs w:val="24"/>
        </w:rPr>
      </w:pPr>
      <w:bookmarkStart w:id="98" w:name="_Toc217446107"/>
      <w:r>
        <w:rPr>
          <w:rFonts w:hint="eastAsia" w:ascii="宋体" w:hAnsi="宋体" w:eastAsia="宋体" w:cs="宋体"/>
          <w:sz w:val="24"/>
          <w:szCs w:val="24"/>
        </w:rPr>
        <w:t>一、合同货物</w:t>
      </w:r>
      <w:bookmarkEnd w:id="98"/>
    </w:p>
    <w:tbl>
      <w:tblPr>
        <w:tblStyle w:val="19"/>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规格</w:t>
            </w:r>
          </w:p>
          <w:p>
            <w:pPr>
              <w:snapToGrid w:val="0"/>
              <w:spacing w:line="360" w:lineRule="auto"/>
              <w:jc w:val="center"/>
              <w:rPr>
                <w:rFonts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单价</w:t>
            </w:r>
          </w:p>
          <w:p>
            <w:pPr>
              <w:snapToGrid w:val="0"/>
              <w:spacing w:line="360" w:lineRule="auto"/>
              <w:jc w:val="center"/>
              <w:rPr>
                <w:rFonts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Ansi="宋体" w:cs="宋体"/>
                <w:sz w:val="24"/>
                <w:szCs w:val="24"/>
              </w:rPr>
            </w:pPr>
            <w:r>
              <w:rPr>
                <w:rFonts w:hint="eastAsia" w:hAnsi="宋体" w:cs="宋体"/>
                <w:sz w:val="24"/>
                <w:szCs w:val="24"/>
              </w:rPr>
              <w:t>总价</w:t>
            </w:r>
          </w:p>
          <w:p>
            <w:pPr>
              <w:snapToGrid w:val="0"/>
              <w:spacing w:line="360" w:lineRule="auto"/>
              <w:rPr>
                <w:rFonts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随机</w:t>
            </w:r>
          </w:p>
          <w:p>
            <w:pPr>
              <w:snapToGrid w:val="0"/>
              <w:spacing w:line="360" w:lineRule="auto"/>
              <w:jc w:val="center"/>
              <w:rPr>
                <w:rFonts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p>
        </w:tc>
      </w:tr>
    </w:tbl>
    <w:p>
      <w:pPr>
        <w:pStyle w:val="3"/>
        <w:tabs>
          <w:tab w:val="left" w:pos="142"/>
        </w:tabs>
        <w:snapToGrid w:val="0"/>
        <w:spacing w:before="0" w:after="0" w:line="360" w:lineRule="auto"/>
        <w:ind w:firstLine="161" w:firstLineChars="67"/>
        <w:rPr>
          <w:rFonts w:ascii="宋体" w:hAnsi="宋体" w:eastAsia="宋体" w:cs="宋体"/>
          <w:sz w:val="24"/>
          <w:szCs w:val="24"/>
        </w:rPr>
      </w:pPr>
      <w:bookmarkStart w:id="99" w:name="_Toc217446108"/>
      <w:r>
        <w:rPr>
          <w:rFonts w:hint="eastAsia" w:ascii="宋体" w:hAnsi="宋体" w:eastAsia="宋体" w:cs="宋体"/>
          <w:sz w:val="24"/>
          <w:szCs w:val="24"/>
        </w:rPr>
        <w:t>二、合同总价</w:t>
      </w:r>
      <w:bookmarkEnd w:id="99"/>
    </w:p>
    <w:p>
      <w:pPr>
        <w:pStyle w:val="5"/>
        <w:snapToGrid w:val="0"/>
        <w:spacing w:line="360" w:lineRule="auto"/>
        <w:ind w:firstLine="484" w:firstLineChars="202"/>
        <w:rPr>
          <w:rFonts w:hAnsi="宋体" w:cs="宋体"/>
          <w:sz w:val="24"/>
        </w:rPr>
      </w:pPr>
      <w:r>
        <w:rPr>
          <w:rFonts w:hint="eastAsia" w:hAnsi="宋体" w:cs="宋体"/>
          <w:sz w:val="24"/>
        </w:rPr>
        <w:t>合同总价为人民币大写：元，即RMB￥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3"/>
        <w:tabs>
          <w:tab w:val="left" w:pos="142"/>
        </w:tabs>
        <w:snapToGrid w:val="0"/>
        <w:spacing w:before="0" w:after="0" w:line="360" w:lineRule="auto"/>
        <w:ind w:firstLine="161" w:firstLineChars="67"/>
        <w:rPr>
          <w:rFonts w:ascii="宋体" w:hAnsi="宋体" w:eastAsia="宋体" w:cs="宋体"/>
          <w:sz w:val="24"/>
          <w:szCs w:val="24"/>
        </w:rPr>
      </w:pPr>
      <w:bookmarkStart w:id="100" w:name="_Toc217446109"/>
      <w:r>
        <w:rPr>
          <w:rFonts w:hint="eastAsia" w:ascii="宋体" w:hAnsi="宋体" w:eastAsia="宋体" w:cs="宋体"/>
          <w:sz w:val="24"/>
          <w:szCs w:val="24"/>
        </w:rPr>
        <w:t>三、质量要求</w:t>
      </w:r>
      <w:bookmarkEnd w:id="100"/>
    </w:p>
    <w:p>
      <w:pPr>
        <w:pStyle w:val="67"/>
        <w:snapToGrid w:val="0"/>
        <w:spacing w:line="360" w:lineRule="auto"/>
        <w:ind w:firstLine="480"/>
        <w:rPr>
          <w:rFonts w:hAnsi="宋体"/>
          <w:szCs w:val="24"/>
        </w:rPr>
      </w:pPr>
      <w:r>
        <w:rPr>
          <w:rFonts w:hint="eastAsia" w:hAnsi="宋体"/>
          <w:szCs w:val="24"/>
        </w:rPr>
        <w:t>1、乙方须提供全新的产品，不得侵害他人的知识产权。</w:t>
      </w:r>
    </w:p>
    <w:p>
      <w:pPr>
        <w:pStyle w:val="67"/>
        <w:snapToGrid w:val="0"/>
        <w:spacing w:line="360" w:lineRule="auto"/>
        <w:ind w:firstLine="480"/>
        <w:rPr>
          <w:rFonts w:hAnsi="宋体"/>
          <w:szCs w:val="24"/>
        </w:rPr>
      </w:pPr>
      <w:r>
        <w:rPr>
          <w:rFonts w:hint="eastAsia" w:hAnsi="宋体"/>
          <w:szCs w:val="24"/>
        </w:rPr>
        <w:t>2、货物必须符合或优于国家（行业）标准，以及本项目招标文件的质量要求和技术指标与出厂标准。</w:t>
      </w:r>
    </w:p>
    <w:p>
      <w:pPr>
        <w:pStyle w:val="67"/>
        <w:snapToGrid w:val="0"/>
        <w:spacing w:line="360" w:lineRule="auto"/>
        <w:ind w:firstLine="480"/>
        <w:rPr>
          <w:rFonts w:hAnsi="宋体"/>
          <w:szCs w:val="24"/>
        </w:rPr>
      </w:pPr>
      <w:r>
        <w:rPr>
          <w:rFonts w:hint="eastAsia" w:hAnsi="宋体"/>
          <w:szCs w:val="24"/>
        </w:rPr>
        <w:t>3、乙方须在本合同签订之日起日内送交产品成品给甲方确认。</w:t>
      </w:r>
    </w:p>
    <w:p>
      <w:pPr>
        <w:pStyle w:val="67"/>
        <w:snapToGrid w:val="0"/>
        <w:spacing w:line="360" w:lineRule="auto"/>
        <w:ind w:firstLine="480"/>
        <w:rPr>
          <w:rFonts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67"/>
        <w:snapToGrid w:val="0"/>
        <w:spacing w:line="360" w:lineRule="auto"/>
        <w:ind w:firstLine="480"/>
        <w:rPr>
          <w:rFonts w:hAnsi="宋体"/>
          <w:szCs w:val="24"/>
        </w:rPr>
      </w:pPr>
      <w:r>
        <w:rPr>
          <w:rFonts w:hint="eastAsia" w:hAnsi="宋体"/>
          <w:szCs w:val="24"/>
        </w:rPr>
        <w:t>5、产品验收后由于甲方使用不当造成的问题，乙方亦应负责修理，但费用由甲方负担。</w:t>
      </w:r>
    </w:p>
    <w:p>
      <w:pPr>
        <w:pStyle w:val="67"/>
        <w:snapToGrid w:val="0"/>
        <w:spacing w:line="360" w:lineRule="auto"/>
        <w:ind w:firstLine="0" w:firstLineChars="0"/>
        <w:rPr>
          <w:rFonts w:hAnsi="宋体"/>
          <w:szCs w:val="24"/>
        </w:rPr>
      </w:pPr>
      <w:r>
        <w:rPr>
          <w:rFonts w:hint="eastAsia" w:hAnsi="宋体"/>
          <w:b/>
          <w:bCs/>
          <w:szCs w:val="24"/>
        </w:rPr>
        <w:t>四、</w:t>
      </w:r>
      <w:bookmarkStart w:id="101" w:name="_Toc217446110"/>
      <w:r>
        <w:rPr>
          <w:rFonts w:hint="eastAsia" w:hAnsi="宋体"/>
          <w:b/>
          <w:bCs/>
          <w:szCs w:val="24"/>
        </w:rPr>
        <w:t>交货及验收</w:t>
      </w:r>
      <w:bookmarkEnd w:id="101"/>
    </w:p>
    <w:p>
      <w:pPr>
        <w:pStyle w:val="67"/>
        <w:snapToGrid w:val="0"/>
        <w:spacing w:line="360" w:lineRule="auto"/>
        <w:ind w:firstLine="480"/>
        <w:rPr>
          <w:rFonts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67"/>
        <w:snapToGrid w:val="0"/>
        <w:spacing w:line="360" w:lineRule="auto"/>
        <w:ind w:firstLine="480"/>
        <w:rPr>
          <w:rFonts w:hAnsi="宋体"/>
          <w:szCs w:val="24"/>
        </w:rPr>
      </w:pPr>
      <w:r>
        <w:rPr>
          <w:rFonts w:hint="eastAsia" w:hAnsi="宋体"/>
          <w:szCs w:val="24"/>
        </w:rPr>
        <w:t>2、验收由甲方组织，乙方配合进行：</w:t>
      </w:r>
    </w:p>
    <w:p>
      <w:pPr>
        <w:pStyle w:val="67"/>
        <w:snapToGrid w:val="0"/>
        <w:spacing w:line="360" w:lineRule="auto"/>
        <w:ind w:firstLine="480"/>
        <w:rPr>
          <w:rFonts w:hAnsi="宋体"/>
          <w:szCs w:val="24"/>
        </w:rPr>
      </w:pPr>
      <w:r>
        <w:rPr>
          <w:rFonts w:hint="eastAsia" w:hAnsi="宋体"/>
          <w:szCs w:val="24"/>
        </w:rPr>
        <w:t>(1) 产品在乙方通知安装调试完毕后日内初步验收。初步验收合格后，进入试用期；试用期间发生重大质量问题，修复后试用相应顺延；试用期结束后日内完成最终验收；</w:t>
      </w:r>
    </w:p>
    <w:p>
      <w:pPr>
        <w:pStyle w:val="67"/>
        <w:snapToGrid w:val="0"/>
        <w:spacing w:line="360" w:lineRule="auto"/>
        <w:ind w:firstLine="480"/>
        <w:rPr>
          <w:rFonts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67"/>
        <w:snapToGrid w:val="0"/>
        <w:spacing w:line="360" w:lineRule="auto"/>
        <w:ind w:firstLine="480"/>
        <w:rPr>
          <w:rFonts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67"/>
        <w:snapToGrid w:val="0"/>
        <w:spacing w:line="360" w:lineRule="auto"/>
        <w:ind w:firstLine="439" w:firstLineChars="183"/>
        <w:rPr>
          <w:rFonts w:hAnsi="宋体"/>
          <w:szCs w:val="24"/>
        </w:rPr>
      </w:pPr>
      <w:r>
        <w:rPr>
          <w:rFonts w:hint="eastAsia" w:hAnsi="宋体"/>
          <w:szCs w:val="24"/>
        </w:rPr>
        <w:t>（4）如质量验收合格，双方签署质量验收报告。</w:t>
      </w:r>
    </w:p>
    <w:p>
      <w:pPr>
        <w:pStyle w:val="67"/>
        <w:snapToGrid w:val="0"/>
        <w:spacing w:line="360" w:lineRule="auto"/>
        <w:ind w:firstLine="480"/>
        <w:rPr>
          <w:rFonts w:hAnsi="宋体"/>
          <w:szCs w:val="24"/>
        </w:rPr>
      </w:pPr>
      <w:r>
        <w:rPr>
          <w:rFonts w:hint="eastAsia" w:hAnsi="宋体"/>
          <w:szCs w:val="24"/>
        </w:rPr>
        <w:t>3、产品安装完成后日内，甲方无故不进行验收工作并已使用货物的，视同已安装调试完成并验收合格。</w:t>
      </w:r>
    </w:p>
    <w:p>
      <w:pPr>
        <w:pStyle w:val="67"/>
        <w:snapToGrid w:val="0"/>
        <w:spacing w:line="360" w:lineRule="auto"/>
        <w:ind w:firstLine="480"/>
        <w:rPr>
          <w:rFonts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67"/>
        <w:snapToGrid w:val="0"/>
        <w:spacing w:line="360" w:lineRule="auto"/>
        <w:ind w:firstLine="480"/>
        <w:rPr>
          <w:rFonts w:hAnsi="宋体"/>
          <w:szCs w:val="24"/>
        </w:rPr>
      </w:pPr>
      <w:r>
        <w:rPr>
          <w:rFonts w:hint="eastAsia" w:hAnsi="宋体"/>
          <w:szCs w:val="24"/>
        </w:rPr>
        <w:t>5、如货物经乙方次维修仍不能达到合同约定的质量标准，甲方有权退货，并视作乙方不能交付货物而须支付违约赔偿金给甲方，甲方还可依法追究乙方的违约责任。 </w:t>
      </w:r>
    </w:p>
    <w:p>
      <w:pPr>
        <w:pStyle w:val="3"/>
        <w:snapToGrid w:val="0"/>
        <w:spacing w:before="0" w:after="0" w:line="360" w:lineRule="auto"/>
        <w:ind w:firstLine="161" w:firstLineChars="67"/>
        <w:rPr>
          <w:rFonts w:ascii="宋体" w:hAnsi="宋体" w:eastAsia="宋体" w:cs="宋体"/>
          <w:sz w:val="24"/>
          <w:szCs w:val="24"/>
        </w:rPr>
      </w:pPr>
      <w:bookmarkStart w:id="102" w:name="_Toc217446111"/>
      <w:r>
        <w:rPr>
          <w:rFonts w:hint="eastAsia" w:ascii="宋体" w:hAnsi="宋体" w:eastAsia="宋体" w:cs="宋体"/>
          <w:sz w:val="24"/>
          <w:szCs w:val="24"/>
        </w:rPr>
        <w:t>五、付款方式</w:t>
      </w:r>
      <w:bookmarkEnd w:id="102"/>
    </w:p>
    <w:p>
      <w:pPr>
        <w:pStyle w:val="67"/>
        <w:snapToGrid w:val="0"/>
        <w:spacing w:line="360" w:lineRule="auto"/>
        <w:ind w:firstLine="480"/>
        <w:jc w:val="left"/>
        <w:rPr>
          <w:rFonts w:hAnsi="宋体"/>
          <w:szCs w:val="24"/>
        </w:rPr>
      </w:pPr>
      <w:r>
        <w:rPr>
          <w:rFonts w:hint="eastAsia" w:hAnsi="宋体"/>
          <w:szCs w:val="24"/>
        </w:rPr>
        <w:t>1、甲方在本合同签订生效之日起，接到乙方通知和票据凭证资料后的日内支付合同金额百分之的价款；</w:t>
      </w:r>
    </w:p>
    <w:p>
      <w:pPr>
        <w:pStyle w:val="67"/>
        <w:snapToGrid w:val="0"/>
        <w:spacing w:line="360" w:lineRule="auto"/>
        <w:ind w:firstLine="480"/>
        <w:rPr>
          <w:rFonts w:hAnsi="宋体"/>
          <w:szCs w:val="24"/>
        </w:rPr>
      </w:pPr>
      <w:r>
        <w:rPr>
          <w:rFonts w:hint="eastAsia" w:hAnsi="宋体"/>
          <w:szCs w:val="24"/>
        </w:rPr>
        <w:t>2、全部货物安装调试完毕并验收合格之日起，甲方接到乙方通知与票据凭证资料后的日内，向乙方核拨合同总价的百分之款项：￥元，人民币大写元整；</w:t>
      </w:r>
    </w:p>
    <w:p>
      <w:pPr>
        <w:pStyle w:val="67"/>
        <w:snapToGrid w:val="0"/>
        <w:spacing w:line="360" w:lineRule="auto"/>
        <w:ind w:firstLine="480"/>
        <w:jc w:val="left"/>
        <w:rPr>
          <w:rFonts w:hAnsi="宋体"/>
          <w:szCs w:val="24"/>
        </w:rPr>
      </w:pPr>
      <w:r>
        <w:rPr>
          <w:rFonts w:hint="eastAsia" w:hAnsi="宋体"/>
          <w:szCs w:val="24"/>
        </w:rPr>
        <w:t>3、乙方须向甲方出具合法有效完整的完税发票及凭证资料进行支付结算。</w:t>
      </w:r>
    </w:p>
    <w:p>
      <w:pPr>
        <w:pStyle w:val="3"/>
        <w:snapToGrid w:val="0"/>
        <w:spacing w:before="0" w:after="0" w:line="360" w:lineRule="auto"/>
        <w:ind w:firstLine="161" w:firstLineChars="67"/>
        <w:rPr>
          <w:rFonts w:ascii="宋体" w:hAnsi="宋体" w:eastAsia="宋体" w:cs="宋体"/>
          <w:sz w:val="24"/>
          <w:szCs w:val="24"/>
        </w:rPr>
      </w:pPr>
      <w:bookmarkStart w:id="103" w:name="_Toc217446112"/>
      <w:r>
        <w:rPr>
          <w:rFonts w:hint="eastAsia" w:ascii="宋体" w:hAnsi="宋体" w:eastAsia="宋体" w:cs="宋体"/>
          <w:sz w:val="24"/>
          <w:szCs w:val="24"/>
        </w:rPr>
        <w:t>六、售后服务</w:t>
      </w:r>
      <w:bookmarkEnd w:id="103"/>
    </w:p>
    <w:p>
      <w:pPr>
        <w:pStyle w:val="67"/>
        <w:snapToGrid w:val="0"/>
        <w:spacing w:line="360" w:lineRule="auto"/>
        <w:ind w:firstLine="480"/>
        <w:rPr>
          <w:rFonts w:hAnsi="宋体"/>
          <w:szCs w:val="24"/>
        </w:rPr>
      </w:pPr>
      <w:r>
        <w:rPr>
          <w:rFonts w:hint="eastAsia" w:hAnsi="宋体"/>
          <w:szCs w:val="24"/>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67"/>
        <w:snapToGrid w:val="0"/>
        <w:spacing w:line="360" w:lineRule="auto"/>
        <w:ind w:firstLine="480"/>
        <w:rPr>
          <w:rFonts w:hint="eastAsia" w:hAnsi="宋体"/>
          <w:szCs w:val="24"/>
        </w:rPr>
      </w:pPr>
      <w:r>
        <w:rPr>
          <w:rFonts w:hint="eastAsia" w:hAnsi="宋体"/>
          <w:szCs w:val="24"/>
        </w:rPr>
        <w:t>2、乙方须指派专人负责与甲方联系人员培训、维护维修等售后服务事宜。</w:t>
      </w:r>
    </w:p>
    <w:p>
      <w:pPr>
        <w:pStyle w:val="67"/>
        <w:snapToGrid w:val="0"/>
        <w:spacing w:line="360" w:lineRule="auto"/>
        <w:ind w:firstLine="480"/>
        <w:rPr>
          <w:rFonts w:hint="eastAsia" w:hAnsi="宋体" w:eastAsia="宋体"/>
          <w:szCs w:val="24"/>
          <w:lang w:val="en-US" w:eastAsia="zh-CN"/>
        </w:rPr>
      </w:pPr>
      <w:r>
        <w:rPr>
          <w:rFonts w:hint="eastAsia" w:hAnsi="宋体"/>
          <w:szCs w:val="24"/>
          <w:lang w:val="en-US" w:eastAsia="zh-CN"/>
        </w:rPr>
        <w:t>3、</w:t>
      </w:r>
      <w:r>
        <w:rPr>
          <w:rFonts w:hint="eastAsia" w:hAnsi="宋体"/>
          <w:szCs w:val="24"/>
        </w:rPr>
        <w:t>乙方</w:t>
      </w:r>
      <w:r>
        <w:rPr>
          <w:rFonts w:hint="eastAsia" w:hAnsi="宋体"/>
          <w:szCs w:val="24"/>
          <w:lang w:eastAsia="zh-CN"/>
        </w:rPr>
        <w:t>需向</w:t>
      </w:r>
      <w:r>
        <w:rPr>
          <w:rFonts w:hint="eastAsia" w:hAnsi="宋体"/>
          <w:szCs w:val="24"/>
        </w:rPr>
        <w:t>甲方</w:t>
      </w:r>
      <w:r>
        <w:rPr>
          <w:rFonts w:hint="eastAsia" w:hAnsi="宋体"/>
          <w:szCs w:val="24"/>
          <w:lang w:eastAsia="zh-CN"/>
        </w:rPr>
        <w:t>提供备份工具及介质，提供技术服务包及产品说明，提供至少三年质保，三年免费后续服务，包含提供及时的服务请求响应、专业资源库升级，教学资源的局部调整，保修期内免费指导涉及到系统平台的软、硬件及计算机网络技术，终身免费技术支持等。</w:t>
      </w:r>
    </w:p>
    <w:p>
      <w:pPr>
        <w:pStyle w:val="3"/>
        <w:snapToGrid w:val="0"/>
        <w:spacing w:before="0" w:after="0" w:line="360" w:lineRule="auto"/>
        <w:ind w:firstLine="161" w:firstLineChars="67"/>
        <w:rPr>
          <w:rFonts w:ascii="宋体" w:hAnsi="宋体" w:eastAsia="宋体" w:cs="宋体"/>
          <w:sz w:val="24"/>
          <w:szCs w:val="24"/>
        </w:rPr>
      </w:pPr>
      <w:bookmarkStart w:id="104" w:name="_Toc217446113"/>
      <w:r>
        <w:rPr>
          <w:rFonts w:hint="eastAsia" w:ascii="宋体" w:hAnsi="宋体" w:eastAsia="宋体" w:cs="宋体"/>
          <w:sz w:val="24"/>
          <w:szCs w:val="24"/>
        </w:rPr>
        <w:t>七、违约责任</w:t>
      </w:r>
      <w:bookmarkEnd w:id="104"/>
    </w:p>
    <w:p>
      <w:pPr>
        <w:pStyle w:val="67"/>
        <w:snapToGrid w:val="0"/>
        <w:spacing w:line="360" w:lineRule="auto"/>
        <w:ind w:firstLine="480"/>
        <w:rPr>
          <w:rFonts w:hAnsi="宋体"/>
          <w:szCs w:val="24"/>
        </w:rPr>
      </w:pPr>
      <w:r>
        <w:rPr>
          <w:rFonts w:hint="eastAsia" w:hAnsi="宋体"/>
          <w:szCs w:val="24"/>
        </w:rPr>
        <w:t>1、甲方违约责任</w:t>
      </w:r>
    </w:p>
    <w:p>
      <w:pPr>
        <w:pStyle w:val="67"/>
        <w:snapToGrid w:val="0"/>
        <w:spacing w:line="360" w:lineRule="auto"/>
        <w:ind w:firstLine="480"/>
        <w:rPr>
          <w:rFonts w:hAnsi="宋体"/>
          <w:szCs w:val="24"/>
        </w:rPr>
      </w:pPr>
      <w:r>
        <w:rPr>
          <w:rFonts w:hint="eastAsia" w:hAnsi="宋体"/>
          <w:szCs w:val="24"/>
        </w:rPr>
        <w:t>（1）甲方无正当理由拒收货物的，甲方应偿付合同总价＿%的违约金；</w:t>
      </w:r>
    </w:p>
    <w:p>
      <w:pPr>
        <w:pStyle w:val="67"/>
        <w:snapToGrid w:val="0"/>
        <w:spacing w:line="360" w:lineRule="auto"/>
        <w:ind w:firstLine="480"/>
        <w:rPr>
          <w:rFonts w:hAnsi="宋体"/>
          <w:szCs w:val="24"/>
        </w:rPr>
      </w:pPr>
      <w:r>
        <w:rPr>
          <w:rFonts w:hint="eastAsia" w:hAnsi="宋体"/>
          <w:szCs w:val="24"/>
        </w:rPr>
        <w:t>（2）甲方逾期支付货款的，除应及时付足货款外，应向乙方偿付合同总价＿%/天的违约金；逾期付款超过天的，乙方有权终止合同；</w:t>
      </w:r>
    </w:p>
    <w:p>
      <w:pPr>
        <w:pStyle w:val="67"/>
        <w:snapToGrid w:val="0"/>
        <w:spacing w:line="360" w:lineRule="auto"/>
        <w:ind w:firstLine="480"/>
        <w:rPr>
          <w:rFonts w:hAnsi="宋体"/>
          <w:szCs w:val="24"/>
        </w:rPr>
      </w:pPr>
      <w:r>
        <w:rPr>
          <w:rFonts w:hint="eastAsia" w:hAnsi="宋体"/>
          <w:szCs w:val="24"/>
        </w:rPr>
        <w:t>（3）甲方偿付的违约金不足以弥补乙方损失的，还应按乙方损失尚未弥补的部分，据实赔偿给乙方。</w:t>
      </w:r>
    </w:p>
    <w:p>
      <w:pPr>
        <w:pStyle w:val="67"/>
        <w:snapToGrid w:val="0"/>
        <w:spacing w:line="360" w:lineRule="auto"/>
        <w:ind w:firstLine="480"/>
        <w:rPr>
          <w:rFonts w:hAnsi="宋体"/>
          <w:szCs w:val="24"/>
        </w:rPr>
      </w:pPr>
      <w:r>
        <w:rPr>
          <w:rFonts w:hint="eastAsia" w:hAnsi="宋体"/>
          <w:szCs w:val="24"/>
        </w:rPr>
        <w:t>2、乙方违约责任</w:t>
      </w:r>
    </w:p>
    <w:p>
      <w:pPr>
        <w:pStyle w:val="67"/>
        <w:snapToGrid w:val="0"/>
        <w:spacing w:line="360" w:lineRule="auto"/>
        <w:ind w:firstLine="480"/>
        <w:rPr>
          <w:rFonts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67"/>
        <w:snapToGrid w:val="0"/>
        <w:spacing w:line="360" w:lineRule="auto"/>
        <w:ind w:firstLine="480"/>
        <w:rPr>
          <w:rFonts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67"/>
        <w:snapToGrid w:val="0"/>
        <w:spacing w:line="360" w:lineRule="auto"/>
        <w:ind w:firstLine="480"/>
        <w:rPr>
          <w:rFonts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67"/>
        <w:snapToGrid w:val="0"/>
        <w:spacing w:line="360" w:lineRule="auto"/>
        <w:ind w:firstLine="480"/>
        <w:rPr>
          <w:rFonts w:hAnsi="宋体"/>
          <w:szCs w:val="24"/>
        </w:rPr>
      </w:pPr>
      <w:r>
        <w:rPr>
          <w:rFonts w:hint="eastAsia" w:hAnsi="宋体"/>
          <w:szCs w:val="24"/>
        </w:rPr>
        <w:t>（4）乙方偿付的违约金不足以弥补甲方损失的，还应按甲方损失尚未弥补的部分，据实赔偿给甲方。</w:t>
      </w:r>
    </w:p>
    <w:p>
      <w:pPr>
        <w:pStyle w:val="3"/>
        <w:snapToGrid w:val="0"/>
        <w:spacing w:before="0" w:after="0" w:line="360" w:lineRule="auto"/>
        <w:ind w:firstLine="161" w:firstLineChars="67"/>
        <w:rPr>
          <w:rFonts w:ascii="宋体" w:hAnsi="宋体" w:eastAsia="宋体" w:cs="宋体"/>
          <w:sz w:val="24"/>
          <w:szCs w:val="24"/>
        </w:rPr>
      </w:pPr>
      <w:bookmarkStart w:id="105" w:name="_Toc217446114"/>
      <w:r>
        <w:rPr>
          <w:rFonts w:hint="eastAsia" w:ascii="宋体" w:hAnsi="宋体" w:eastAsia="宋体" w:cs="宋体"/>
          <w:sz w:val="24"/>
          <w:szCs w:val="24"/>
        </w:rPr>
        <w:t>八、争议解决办法</w:t>
      </w:r>
      <w:bookmarkEnd w:id="105"/>
    </w:p>
    <w:p>
      <w:pPr>
        <w:pStyle w:val="67"/>
        <w:snapToGrid w:val="0"/>
        <w:spacing w:line="360" w:lineRule="auto"/>
        <w:ind w:firstLine="480"/>
        <w:rPr>
          <w:rFonts w:hAnsi="宋体"/>
          <w:szCs w:val="24"/>
        </w:rPr>
      </w:pPr>
      <w:r>
        <w:rPr>
          <w:rFonts w:hint="eastAsia" w:hAnsi="宋体"/>
          <w:szCs w:val="24"/>
        </w:rPr>
        <w:t>合同履行期间,若双方发生争议，可协商或由有关部门调解解决，协商或调解不成的，任何一方均可向合同签订地法院起诉。</w:t>
      </w:r>
    </w:p>
    <w:p>
      <w:pPr>
        <w:pStyle w:val="3"/>
        <w:snapToGrid w:val="0"/>
        <w:spacing w:before="0" w:after="0" w:line="360" w:lineRule="auto"/>
        <w:ind w:firstLine="161" w:firstLineChars="67"/>
        <w:rPr>
          <w:rFonts w:ascii="宋体" w:hAnsi="宋体" w:eastAsia="宋体" w:cs="宋体"/>
          <w:sz w:val="24"/>
          <w:szCs w:val="24"/>
        </w:rPr>
      </w:pPr>
      <w:bookmarkStart w:id="106" w:name="_Toc217446115"/>
      <w:r>
        <w:rPr>
          <w:rFonts w:hint="eastAsia" w:ascii="宋体" w:hAnsi="宋体" w:eastAsia="宋体" w:cs="宋体"/>
          <w:sz w:val="24"/>
          <w:szCs w:val="24"/>
        </w:rPr>
        <w:t>九、其他</w:t>
      </w:r>
      <w:bookmarkEnd w:id="106"/>
    </w:p>
    <w:p>
      <w:pPr>
        <w:pStyle w:val="67"/>
        <w:snapToGrid w:val="0"/>
        <w:spacing w:line="360" w:lineRule="auto"/>
        <w:ind w:firstLine="480"/>
        <w:rPr>
          <w:rFonts w:hAnsi="宋体"/>
          <w:szCs w:val="24"/>
        </w:rPr>
      </w:pPr>
      <w:r>
        <w:rPr>
          <w:rFonts w:hint="eastAsia" w:hAnsi="宋体"/>
          <w:szCs w:val="24"/>
        </w:rPr>
        <w:t>1、如有未尽事宜，由双方依法订立补充合同。</w:t>
      </w:r>
    </w:p>
    <w:p>
      <w:pPr>
        <w:pStyle w:val="67"/>
        <w:snapToGrid w:val="0"/>
        <w:spacing w:line="360" w:lineRule="auto"/>
        <w:ind w:firstLine="480"/>
        <w:rPr>
          <w:rFonts w:hAnsi="宋体"/>
          <w:szCs w:val="24"/>
        </w:rPr>
      </w:pPr>
      <w:r>
        <w:rPr>
          <w:rFonts w:hint="eastAsia" w:hAnsi="宋体"/>
          <w:szCs w:val="24"/>
        </w:rPr>
        <w:t>2、本合同一式六份，自双方签章之日起生效。甲、乙方各三份。</w:t>
      </w:r>
    </w:p>
    <w:p>
      <w:pPr>
        <w:pStyle w:val="67"/>
        <w:snapToGrid w:val="0"/>
        <w:spacing w:line="360" w:lineRule="auto"/>
        <w:ind w:firstLine="480"/>
        <w:rPr>
          <w:rFonts w:hAnsi="宋体"/>
          <w:szCs w:val="24"/>
        </w:rPr>
      </w:pPr>
    </w:p>
    <w:p>
      <w:pPr>
        <w:snapToGrid w:val="0"/>
        <w:spacing w:line="360" w:lineRule="auto"/>
        <w:ind w:firstLine="480" w:firstLineChars="200"/>
        <w:rPr>
          <w:rFonts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Ansi="宋体" w:cs="宋体"/>
          <w:sz w:val="24"/>
          <w:szCs w:val="24"/>
        </w:rPr>
      </w:pPr>
      <w:r>
        <w:rPr>
          <w:rFonts w:hint="eastAsia" w:hAnsi="宋体" w:cs="宋体"/>
          <w:sz w:val="24"/>
          <w:szCs w:val="24"/>
        </w:rPr>
        <w:t>地    址：                         地    址：</w:t>
      </w:r>
    </w:p>
    <w:p>
      <w:pPr>
        <w:snapToGrid w:val="0"/>
        <w:spacing w:line="360" w:lineRule="auto"/>
        <w:ind w:firstLine="480" w:firstLineChars="200"/>
        <w:rPr>
          <w:rFonts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Ansi="宋体" w:cs="宋体"/>
          <w:sz w:val="24"/>
          <w:szCs w:val="24"/>
        </w:rPr>
      </w:pPr>
      <w:r>
        <w:rPr>
          <w:rFonts w:hint="eastAsia" w:hAnsi="宋体" w:cs="宋体"/>
          <w:sz w:val="24"/>
          <w:szCs w:val="24"/>
        </w:rPr>
        <w:t>账号：                             账号：</w:t>
      </w:r>
    </w:p>
    <w:p>
      <w:pPr>
        <w:snapToGrid w:val="0"/>
        <w:spacing w:line="360" w:lineRule="auto"/>
        <w:ind w:firstLine="480" w:firstLineChars="200"/>
        <w:rPr>
          <w:rFonts w:hAnsi="宋体" w:cs="宋体"/>
          <w:sz w:val="24"/>
          <w:szCs w:val="24"/>
        </w:rPr>
      </w:pPr>
      <w:r>
        <w:rPr>
          <w:rFonts w:hint="eastAsia" w:hAnsi="宋体" w:cs="宋体"/>
          <w:sz w:val="24"/>
          <w:szCs w:val="24"/>
        </w:rPr>
        <w:t>电    话：                         电    话：</w:t>
      </w:r>
    </w:p>
    <w:p>
      <w:pPr>
        <w:snapToGrid w:val="0"/>
        <w:spacing w:line="360" w:lineRule="auto"/>
        <w:ind w:firstLine="480" w:firstLineChars="200"/>
        <w:rPr>
          <w:rFonts w:hAnsi="宋体" w:cs="宋体"/>
          <w:sz w:val="24"/>
          <w:szCs w:val="24"/>
        </w:rPr>
      </w:pPr>
      <w:r>
        <w:rPr>
          <w:rFonts w:hint="eastAsia" w:hAnsi="宋体" w:cs="宋体"/>
          <w:sz w:val="24"/>
          <w:szCs w:val="24"/>
        </w:rPr>
        <w:t>传    真：                         传    真：</w:t>
      </w:r>
    </w:p>
    <w:p>
      <w:pPr>
        <w:snapToGrid w:val="0"/>
        <w:spacing w:line="360" w:lineRule="auto"/>
        <w:ind w:firstLine="480" w:firstLineChars="200"/>
        <w:rPr>
          <w:rFonts w:hAnsi="宋体" w:cs="宋体"/>
          <w:sz w:val="24"/>
          <w:szCs w:val="24"/>
        </w:rPr>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签约日期：XX年XX月XX日</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7216;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8240;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lang w:val="en-US" w:eastAsia="zh-CN"/>
      </w:rPr>
      <w:t>课程诊改试点</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199A0C5D"/>
    <w:multiLevelType w:val="singleLevel"/>
    <w:tmpl w:val="199A0C5D"/>
    <w:lvl w:ilvl="0" w:tentative="0">
      <w:start w:val="1"/>
      <w:numFmt w:val="decimal"/>
      <w:lvlText w:val="%1."/>
      <w:lvlJc w:val="left"/>
      <w:pPr>
        <w:tabs>
          <w:tab w:val="left" w:pos="312"/>
        </w:tabs>
      </w:pPr>
    </w:lvl>
  </w:abstractNum>
  <w:abstractNum w:abstractNumId="5">
    <w:nsid w:val="23F24AAC"/>
    <w:multiLevelType w:val="singleLevel"/>
    <w:tmpl w:val="23F24AAC"/>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F17F7"/>
    <w:rsid w:val="07FD0DA7"/>
    <w:rsid w:val="080055AF"/>
    <w:rsid w:val="080C13C2"/>
    <w:rsid w:val="08380F8C"/>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0C2B7A"/>
    <w:rsid w:val="232C45F5"/>
    <w:rsid w:val="23574571"/>
    <w:rsid w:val="235C138F"/>
    <w:rsid w:val="23A52A88"/>
    <w:rsid w:val="23C478CF"/>
    <w:rsid w:val="23DB76DF"/>
    <w:rsid w:val="2431266C"/>
    <w:rsid w:val="245965D5"/>
    <w:rsid w:val="247B506A"/>
    <w:rsid w:val="24AE0D3C"/>
    <w:rsid w:val="251251DD"/>
    <w:rsid w:val="25267701"/>
    <w:rsid w:val="25392E9F"/>
    <w:rsid w:val="254060AD"/>
    <w:rsid w:val="25556F4C"/>
    <w:rsid w:val="25A14E4D"/>
    <w:rsid w:val="25BC3478"/>
    <w:rsid w:val="26066D6F"/>
    <w:rsid w:val="261C0F13"/>
    <w:rsid w:val="261E7C99"/>
    <w:rsid w:val="263465BA"/>
    <w:rsid w:val="26365340"/>
    <w:rsid w:val="26770328"/>
    <w:rsid w:val="268044BB"/>
    <w:rsid w:val="26842EC1"/>
    <w:rsid w:val="269363C3"/>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D6548"/>
    <w:rsid w:val="2E870FE2"/>
    <w:rsid w:val="2EF67098"/>
    <w:rsid w:val="2F043E2F"/>
    <w:rsid w:val="2F31727D"/>
    <w:rsid w:val="2F5B483E"/>
    <w:rsid w:val="2FDE4E17"/>
    <w:rsid w:val="300A115E"/>
    <w:rsid w:val="303D7F63"/>
    <w:rsid w:val="306B5D4B"/>
    <w:rsid w:val="30711E07"/>
    <w:rsid w:val="30792A97"/>
    <w:rsid w:val="30817EA3"/>
    <w:rsid w:val="308952B0"/>
    <w:rsid w:val="308D3CB6"/>
    <w:rsid w:val="30A30058"/>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9C184B"/>
    <w:rsid w:val="34A15065"/>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246E8B"/>
    <w:rsid w:val="3D313175"/>
    <w:rsid w:val="3D72615D"/>
    <w:rsid w:val="3D822D1E"/>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E00C4"/>
    <w:rsid w:val="40741FCD"/>
    <w:rsid w:val="40957F84"/>
    <w:rsid w:val="409C7F95"/>
    <w:rsid w:val="40B21AB2"/>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03631E"/>
    <w:rsid w:val="631C34A7"/>
    <w:rsid w:val="639F3A80"/>
    <w:rsid w:val="63B32720"/>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344483"/>
    <w:rsid w:val="68503DB3"/>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947740"/>
    <w:rsid w:val="6DA11102"/>
    <w:rsid w:val="6DBB3515"/>
    <w:rsid w:val="6DC30922"/>
    <w:rsid w:val="6DEC1AE6"/>
    <w:rsid w:val="6EB56FB1"/>
    <w:rsid w:val="6F085736"/>
    <w:rsid w:val="6F2F55F5"/>
    <w:rsid w:val="6F306560"/>
    <w:rsid w:val="6F663E02"/>
    <w:rsid w:val="6FA974BD"/>
    <w:rsid w:val="6FE67322"/>
    <w:rsid w:val="701D527E"/>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BA00C5"/>
    <w:rsid w:val="72BB4E08"/>
    <w:rsid w:val="72FF663B"/>
    <w:rsid w:val="730541A5"/>
    <w:rsid w:val="73231CF3"/>
    <w:rsid w:val="736D6C6F"/>
    <w:rsid w:val="738E13A2"/>
    <w:rsid w:val="73A722CC"/>
    <w:rsid w:val="73CC6C88"/>
    <w:rsid w:val="7427609D"/>
    <w:rsid w:val="74563369"/>
    <w:rsid w:val="7499095B"/>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qFormat/>
    <w:uiPriority w:val="0"/>
    <w:pPr>
      <w:spacing w:after="120"/>
    </w:pPr>
    <w:rPr>
      <w:rFonts w:ascii="Times New Roman"/>
    </w:rPr>
  </w:style>
  <w:style w:type="paragraph" w:styleId="8">
    <w:name w:val="Body Text Indent"/>
    <w:basedOn w:val="1"/>
    <w:link w:val="36"/>
    <w:qFormat/>
    <w:uiPriority w:val="0"/>
    <w:pPr>
      <w:ind w:firstLine="630"/>
    </w:pPr>
    <w:rPr>
      <w:rFonts w:ascii="Times New Roman"/>
      <w:kern w:val="2"/>
      <w:sz w:val="32"/>
    </w:rPr>
  </w:style>
  <w:style w:type="paragraph" w:styleId="9">
    <w:name w:val="Plain Text"/>
    <w:basedOn w:val="1"/>
    <w:link w:val="45"/>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customStyle="1" w:styleId="26">
    <w:name w:val="font31"/>
    <w:qFormat/>
    <w:uiPriority w:val="0"/>
    <w:rPr>
      <w:rFonts w:hint="eastAsia" w:ascii="宋体" w:hAnsi="宋体" w:eastAsia="宋体" w:cs="宋体"/>
      <w:b/>
      <w:color w:val="000000"/>
      <w:sz w:val="22"/>
      <w:szCs w:val="22"/>
      <w:u w:val="none"/>
    </w:rPr>
  </w:style>
  <w:style w:type="character" w:customStyle="1" w:styleId="27">
    <w:name w:val="style1"/>
    <w:qFormat/>
    <w:uiPriority w:val="0"/>
    <w:rPr>
      <w:rFonts w:ascii="Times New Roman" w:hAnsi="Times New Roman" w:eastAsia="宋体" w:cs="Times New Roman"/>
    </w:rPr>
  </w:style>
  <w:style w:type="character" w:customStyle="1" w:styleId="28">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character" w:customStyle="1" w:styleId="30">
    <w:name w:val="font81"/>
    <w:qFormat/>
    <w:uiPriority w:val="0"/>
    <w:rPr>
      <w:rFonts w:hint="eastAsia" w:ascii="宋体" w:hAnsi="宋体" w:eastAsia="宋体" w:cs="宋体"/>
      <w:b/>
      <w:color w:val="000000"/>
      <w:sz w:val="22"/>
      <w:szCs w:val="22"/>
      <w:u w:val="none"/>
    </w:rPr>
  </w:style>
  <w:style w:type="character" w:customStyle="1" w:styleId="31">
    <w:name w:val="tdrownotice1"/>
    <w:qFormat/>
    <w:uiPriority w:val="0"/>
    <w:rPr>
      <w:rFonts w:hint="default" w:ascii="Times New Roman" w:hAnsi="Times New Roman" w:eastAsia="宋体" w:cs="Times New Roman"/>
      <w:sz w:val="22"/>
    </w:rPr>
  </w:style>
  <w:style w:type="character" w:customStyle="1" w:styleId="32">
    <w:name w:val="表正文 Char1"/>
    <w:qFormat/>
    <w:uiPriority w:val="0"/>
    <w:rPr>
      <w:rFonts w:ascii="Times New Roman" w:hAnsi="Times New Roman" w:eastAsia="宋体" w:cs="Times New Roman"/>
      <w:kern w:val="2"/>
      <w:sz w:val="21"/>
      <w:szCs w:val="24"/>
      <w:lang w:val="en-US" w:eastAsia="zh-CN" w:bidi="ar-SA"/>
    </w:rPr>
  </w:style>
  <w:style w:type="character" w:customStyle="1" w:styleId="33">
    <w:name w:val="font61"/>
    <w:qFormat/>
    <w:uiPriority w:val="0"/>
    <w:rPr>
      <w:rFonts w:hint="eastAsia" w:ascii="微软雅黑" w:hAnsi="微软雅黑" w:eastAsia="微软雅黑" w:cs="微软雅黑"/>
      <w:b/>
      <w:color w:val="000000"/>
      <w:sz w:val="22"/>
      <w:szCs w:val="22"/>
      <w:u w:val="none"/>
    </w:rPr>
  </w:style>
  <w:style w:type="character" w:customStyle="1" w:styleId="34">
    <w:name w:val="font71"/>
    <w:qFormat/>
    <w:uiPriority w:val="0"/>
    <w:rPr>
      <w:rFonts w:hint="eastAsia" w:ascii="宋体" w:hAnsi="宋体" w:eastAsia="宋体" w:cs="宋体"/>
      <w:color w:val="000000"/>
      <w:sz w:val="20"/>
      <w:szCs w:val="20"/>
      <w:u w:val="none"/>
    </w:rPr>
  </w:style>
  <w:style w:type="character" w:customStyle="1" w:styleId="35">
    <w:name w:val="font01"/>
    <w:qFormat/>
    <w:uiPriority w:val="0"/>
    <w:rPr>
      <w:rFonts w:hint="eastAsia" w:ascii="宋体" w:hAnsi="宋体" w:eastAsia="宋体" w:cs="宋体"/>
      <w:i/>
      <w:color w:val="000000"/>
      <w:sz w:val="20"/>
      <w:szCs w:val="20"/>
      <w:u w:val="none"/>
    </w:rPr>
  </w:style>
  <w:style w:type="character" w:customStyle="1" w:styleId="36">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37">
    <w:name w:val="页码1"/>
    <w:qFormat/>
    <w:uiPriority w:val="0"/>
    <w:rPr>
      <w:rFonts w:ascii="Times New Roman" w:hAnsi="Times New Roman" w:eastAsia="宋体" w:cs="Times New Roman"/>
    </w:rPr>
  </w:style>
  <w:style w:type="character" w:customStyle="1" w:styleId="38">
    <w:name w:val="font41"/>
    <w:qFormat/>
    <w:uiPriority w:val="0"/>
    <w:rPr>
      <w:rFonts w:hint="eastAsia" w:ascii="宋体" w:hAnsi="宋体" w:eastAsia="宋体" w:cs="宋体"/>
      <w:color w:val="000000"/>
      <w:sz w:val="24"/>
      <w:szCs w:val="24"/>
      <w:u w:val="none"/>
    </w:rPr>
  </w:style>
  <w:style w:type="character" w:customStyle="1" w:styleId="39">
    <w:name w:val="font111"/>
    <w:qFormat/>
    <w:uiPriority w:val="0"/>
    <w:rPr>
      <w:rFonts w:hint="eastAsia" w:ascii="宋体" w:hAnsi="宋体" w:eastAsia="宋体" w:cs="宋体"/>
      <w:b/>
      <w:color w:val="000000"/>
      <w:sz w:val="32"/>
      <w:szCs w:val="32"/>
      <w:u w:val="none"/>
    </w:rPr>
  </w:style>
  <w:style w:type="character" w:customStyle="1" w:styleId="40">
    <w:name w:val="（符号）邀请函中一、"/>
    <w:qFormat/>
    <w:uiPriority w:val="0"/>
    <w:rPr>
      <w:rFonts w:ascii="黑体" w:hAnsi="黑体" w:eastAsia="黑体" w:cs="Times New Roman"/>
      <w:b/>
      <w:bCs/>
      <w:sz w:val="24"/>
    </w:rPr>
  </w:style>
  <w:style w:type="character" w:customStyle="1" w:styleId="41">
    <w:name w:val="font11"/>
    <w:qFormat/>
    <w:uiPriority w:val="0"/>
    <w:rPr>
      <w:rFonts w:hint="eastAsia" w:ascii="宋体" w:hAnsi="宋体" w:eastAsia="宋体" w:cs="宋体"/>
      <w:color w:val="000000"/>
      <w:sz w:val="24"/>
      <w:szCs w:val="24"/>
      <w:u w:val="none"/>
    </w:rPr>
  </w:style>
  <w:style w:type="character" w:customStyle="1" w:styleId="42">
    <w:name w:val="font21"/>
    <w:qFormat/>
    <w:uiPriority w:val="0"/>
    <w:rPr>
      <w:rFonts w:hint="eastAsia" w:ascii="宋体" w:hAnsi="宋体" w:eastAsia="宋体" w:cs="宋体"/>
      <w:color w:val="000000"/>
      <w:sz w:val="20"/>
      <w:szCs w:val="20"/>
      <w:u w:val="none"/>
    </w:rPr>
  </w:style>
  <w:style w:type="character" w:customStyle="1" w:styleId="43">
    <w:name w:val="左对齐的表内文字 Char"/>
    <w:link w:val="44"/>
    <w:qFormat/>
    <w:uiPriority w:val="0"/>
    <w:rPr>
      <w:rFonts w:ascii="Times New Roman" w:hAnsi="Times New Roman" w:eastAsia="仿宋_GB2312" w:cs="Times New Roman"/>
      <w:kern w:val="2"/>
      <w:sz w:val="21"/>
      <w:lang w:bidi="ar-SA"/>
    </w:rPr>
  </w:style>
  <w:style w:type="paragraph" w:customStyle="1" w:styleId="44">
    <w:name w:val="左对齐的表内文字"/>
    <w:basedOn w:val="1"/>
    <w:link w:val="43"/>
    <w:qFormat/>
    <w:uiPriority w:val="0"/>
    <w:rPr>
      <w:rFonts w:ascii="Times New Roman" w:eastAsia="仿宋_GB2312"/>
      <w:kern w:val="2"/>
      <w:sz w:val="21"/>
    </w:rPr>
  </w:style>
  <w:style w:type="character" w:customStyle="1" w:styleId="45">
    <w:name w:val="纯文本 Char"/>
    <w:link w:val="9"/>
    <w:qFormat/>
    <w:uiPriority w:val="0"/>
    <w:rPr>
      <w:rFonts w:ascii="宋体" w:hAnsi="Courier New" w:eastAsia="宋体" w:cs="Times New Roman"/>
      <w:kern w:val="2"/>
      <w:sz w:val="21"/>
      <w:lang w:val="en-US" w:eastAsia="zh-CN" w:bidi="ar-SA"/>
    </w:rPr>
  </w:style>
  <w:style w:type="paragraph" w:customStyle="1" w:styleId="46">
    <w:name w:val="_Style 3"/>
    <w:basedOn w:val="1"/>
    <w:qFormat/>
    <w:uiPriority w:val="34"/>
    <w:pPr>
      <w:ind w:firstLine="420" w:firstLineChars="200"/>
    </w:pPr>
  </w:style>
  <w:style w:type="paragraph" w:customStyle="1" w:styleId="4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48">
    <w:name w:val="_Style 2"/>
    <w:basedOn w:val="1"/>
    <w:qFormat/>
    <w:uiPriority w:val="34"/>
    <w:pPr>
      <w:ind w:firstLine="420" w:firstLineChars="200"/>
    </w:pPr>
    <w:rPr>
      <w:rFonts w:ascii="Calibri"/>
    </w:rPr>
  </w:style>
  <w:style w:type="paragraph" w:customStyle="1" w:styleId="49">
    <w:name w:val="标准文本"/>
    <w:basedOn w:val="1"/>
    <w:qFormat/>
    <w:uiPriority w:val="0"/>
    <w:pPr>
      <w:spacing w:line="360" w:lineRule="auto"/>
      <w:ind w:firstLine="480" w:firstLineChars="200"/>
    </w:pPr>
    <w:rPr>
      <w:rFonts w:ascii="Times New Roman" w:cs="宋体"/>
      <w:sz w:val="24"/>
    </w:rPr>
  </w:style>
  <w:style w:type="paragraph" w:customStyle="1" w:styleId="50">
    <w:name w:val="正文缩进3"/>
    <w:basedOn w:val="1"/>
    <w:qFormat/>
    <w:uiPriority w:val="0"/>
    <w:pPr>
      <w:autoSpaceDE w:val="0"/>
      <w:autoSpaceDN w:val="0"/>
      <w:adjustRightInd w:val="0"/>
      <w:ind w:firstLine="420"/>
    </w:pPr>
    <w:rPr>
      <w:rFonts w:ascii="Times New Roman"/>
      <w:szCs w:val="21"/>
    </w:rPr>
  </w:style>
  <w:style w:type="paragraph" w:customStyle="1" w:styleId="51">
    <w:name w:val="表格"/>
    <w:basedOn w:val="1"/>
    <w:qFormat/>
    <w:uiPriority w:val="0"/>
    <w:pPr>
      <w:spacing w:line="400" w:lineRule="exact"/>
    </w:pPr>
    <w:rPr>
      <w:rFonts w:ascii="Times New Roman"/>
      <w:sz w:val="24"/>
    </w:rPr>
  </w:style>
  <w:style w:type="paragraph" w:styleId="52">
    <w:name w:val="List Paragraph"/>
    <w:basedOn w:val="1"/>
    <w:qFormat/>
    <w:uiPriority w:val="0"/>
    <w:pPr>
      <w:ind w:firstLine="420" w:firstLineChars="200"/>
    </w:pPr>
    <w:rPr>
      <w:rFonts w:ascii="Times New Roman"/>
      <w:sz w:val="18"/>
      <w:szCs w:val="18"/>
    </w:rPr>
  </w:style>
  <w:style w:type="paragraph" w:customStyle="1" w:styleId="53">
    <w:name w:val="Char1 Char Char Char"/>
    <w:basedOn w:val="1"/>
    <w:qFormat/>
    <w:uiPriority w:val="0"/>
    <w:rPr>
      <w:rFonts w:ascii="Times New Roman" w:eastAsia="仿宋_GB2312"/>
      <w:sz w:val="28"/>
    </w:rPr>
  </w:style>
  <w:style w:type="paragraph" w:customStyle="1" w:styleId="54">
    <w:name w:val="正文首行缩进两字符"/>
    <w:basedOn w:val="1"/>
    <w:qFormat/>
    <w:uiPriority w:val="0"/>
    <w:pPr>
      <w:spacing w:line="360" w:lineRule="auto"/>
      <w:ind w:firstLine="200" w:firstLineChars="200"/>
    </w:pPr>
    <w:rPr>
      <w:rFonts w:ascii="Times New Roman"/>
    </w:rPr>
  </w:style>
  <w:style w:type="paragraph" w:customStyle="1" w:styleId="55">
    <w:name w:val="Body Text 22"/>
    <w:basedOn w:val="1"/>
    <w:qFormat/>
    <w:uiPriority w:val="0"/>
    <w:pPr>
      <w:adjustRightInd w:val="0"/>
      <w:spacing w:line="300" w:lineRule="auto"/>
      <w:jc w:val="center"/>
      <w:textAlignment w:val="baseline"/>
    </w:pPr>
    <w:rPr>
      <w:rFonts w:hAnsi="宋体"/>
      <w:sz w:val="24"/>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列出段落1"/>
    <w:basedOn w:val="1"/>
    <w:qFormat/>
    <w:uiPriority w:val="0"/>
    <w:pPr>
      <w:ind w:firstLine="420" w:firstLineChars="200"/>
    </w:pPr>
    <w:rPr>
      <w:rFonts w:ascii="Times New Roman"/>
    </w:rPr>
  </w:style>
  <w:style w:type="paragraph" w:customStyle="1" w:styleId="58">
    <w:name w:val="p0"/>
    <w:basedOn w:val="1"/>
    <w:qFormat/>
    <w:uiPriority w:val="0"/>
    <w:pPr>
      <w:widowControl/>
    </w:pPr>
    <w:rPr>
      <w:rFonts w:ascii="Times New Roman"/>
      <w:szCs w:val="21"/>
    </w:rPr>
  </w:style>
  <w:style w:type="paragraph" w:customStyle="1" w:styleId="59">
    <w:name w:val="左对齐的表内文字1"/>
    <w:basedOn w:val="1"/>
    <w:qFormat/>
    <w:uiPriority w:val="0"/>
    <w:rPr>
      <w:rFonts w:ascii="Times New Roman"/>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1">
    <w:name w:val="List Paragraph1"/>
    <w:basedOn w:val="1"/>
    <w:qFormat/>
    <w:uiPriority w:val="99"/>
    <w:pPr>
      <w:ind w:firstLine="420" w:firstLineChars="200"/>
    </w:pPr>
    <w:rPr>
      <w:rFonts w:ascii="Times New Roman"/>
      <w:szCs w:val="34"/>
    </w:rPr>
  </w:style>
  <w:style w:type="paragraph" w:customStyle="1" w:styleId="62">
    <w:name w:val="0"/>
    <w:qFormat/>
    <w:uiPriority w:val="0"/>
    <w:pPr>
      <w:snapToGrid w:val="0"/>
    </w:pPr>
    <w:rPr>
      <w:rFonts w:ascii="Calibri" w:hAnsi="Calibri" w:eastAsia="宋体" w:cs="Times New Roman"/>
      <w:lang w:val="en-US" w:eastAsia="zh-CN" w:bidi="ar-SA"/>
    </w:rPr>
  </w:style>
  <w:style w:type="paragraph" w:customStyle="1" w:styleId="63">
    <w:name w:val="pa-8"/>
    <w:basedOn w:val="1"/>
    <w:qFormat/>
    <w:uiPriority w:val="0"/>
    <w:pPr>
      <w:widowControl/>
      <w:spacing w:before="150" w:after="150"/>
      <w:jc w:val="left"/>
    </w:pPr>
    <w:rPr>
      <w:rFonts w:hAnsi="宋体" w:cs="宋体"/>
      <w:sz w:val="24"/>
      <w:szCs w:val="24"/>
    </w:rPr>
  </w:style>
  <w:style w:type="paragraph" w:customStyle="1" w:styleId="64">
    <w:name w:val="+正文"/>
    <w:basedOn w:val="1"/>
    <w:qFormat/>
    <w:uiPriority w:val="0"/>
    <w:pPr>
      <w:spacing w:line="360" w:lineRule="auto"/>
      <w:ind w:firstLine="200" w:firstLineChars="200"/>
    </w:pPr>
    <w:rPr>
      <w:rFonts w:ascii="Times New Roman" w:eastAsia="楷体_GB2312"/>
      <w:szCs w:val="28"/>
    </w:rPr>
  </w:style>
  <w:style w:type="paragraph" w:styleId="65">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6">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7">
    <w:name w:val="样式 首行缩进:  2 字符"/>
    <w:basedOn w:val="1"/>
    <w:qFormat/>
    <w:uiPriority w:val="0"/>
    <w:pPr>
      <w:spacing w:line="400" w:lineRule="exact"/>
      <w:ind w:firstLine="200" w:firstLineChars="200"/>
    </w:pPr>
    <w:rPr>
      <w:rFonts w:ascii="Times New Roman" w:cs="宋体"/>
      <w:sz w:val="24"/>
    </w:rPr>
  </w:style>
  <w:style w:type="paragraph" w:customStyle="1" w:styleId="68">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6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22</Pages>
  <Words>2942</Words>
  <Characters>16771</Characters>
  <Lines>139</Lines>
  <Paragraphs>39</Paragraphs>
  <TotalTime>4</TotalTime>
  <ScaleCrop>false</ScaleCrop>
  <LinksUpToDate>false</LinksUpToDate>
  <CharactersWithSpaces>19674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自由者</cp:lastModifiedBy>
  <cp:lastPrinted>2015-08-20T10:29:00Z</cp:lastPrinted>
  <dcterms:modified xsi:type="dcterms:W3CDTF">2020-12-04T01:37:25Z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