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val="en-US" w:eastAsia="zh-CN"/>
        </w:rPr>
        <w:t>2022年度四川铁道职业学院期刊</w:t>
      </w:r>
      <w:r>
        <w:rPr>
          <w:rFonts w:hint="eastAsia" w:hAnsi="宋体" w:cs="宋体"/>
          <w:bCs/>
          <w:sz w:val="36"/>
          <w:szCs w:val="36"/>
        </w:rPr>
        <w:t>采购</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2021021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2021</w:t>
      </w:r>
      <w:r>
        <w:rPr>
          <w:rFonts w:hint="eastAsia" w:hAnsi="宋体" w:cs="宋体"/>
          <w:bCs/>
          <w:sz w:val="30"/>
          <w:szCs w:val="30"/>
          <w:lang w:val="zh-CN"/>
        </w:rPr>
        <w:t>年 10</w:t>
      </w:r>
      <w:r>
        <w:rPr>
          <w:rFonts w:hint="eastAsia" w:hAnsi="宋体" w:cs="宋体"/>
          <w:bCs/>
          <w:sz w:val="30"/>
          <w:szCs w:val="30"/>
        </w:rPr>
        <w:t xml:space="preserve">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17</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bookmarkStart w:id="107" w:name="_GoBack"/>
      <w:bookmarkEnd w:id="107"/>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2022年度</w:t>
      </w:r>
      <w:r>
        <w:rPr>
          <w:rFonts w:hint="eastAsia" w:hAnsi="宋体" w:cs="宋体"/>
          <w:bCs/>
          <w:sz w:val="24"/>
          <w:szCs w:val="24"/>
          <w:u w:val="single"/>
          <w:lang w:eastAsia="zh-CN"/>
        </w:rPr>
        <w:t>四川铁道职业学院</w:t>
      </w:r>
      <w:r>
        <w:rPr>
          <w:rFonts w:hint="eastAsia" w:hAnsi="宋体" w:cs="宋体"/>
          <w:bCs/>
          <w:sz w:val="24"/>
          <w:szCs w:val="24"/>
          <w:u w:val="single"/>
        </w:rPr>
        <w:t>期刊采购</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招标编号：</w:t>
      </w:r>
      <w:r>
        <w:rPr>
          <w:rFonts w:hint="eastAsia" w:hAnsi="宋体" w:cs="宋体"/>
          <w:bCs/>
          <w:sz w:val="24"/>
          <w:szCs w:val="24"/>
        </w:rPr>
        <w:t>TZY</w:t>
      </w:r>
      <w:r>
        <w:rPr>
          <w:rFonts w:hint="eastAsia" w:hAnsi="宋体" w:cs="宋体"/>
          <w:bCs/>
          <w:sz w:val="24"/>
          <w:szCs w:val="24"/>
          <w:lang w:val="en-US" w:eastAsia="zh-CN"/>
        </w:rPr>
        <w:t>-2021021</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sz w:val="24"/>
          <w:szCs w:val="24"/>
          <w:u w:val="single"/>
        </w:rPr>
        <w:t>2022年度</w:t>
      </w:r>
      <w:r>
        <w:rPr>
          <w:rFonts w:hint="eastAsia" w:ascii="宋体" w:hAnsi="宋体" w:cs="宋体"/>
          <w:sz w:val="24"/>
          <w:szCs w:val="24"/>
          <w:u w:val="single"/>
          <w:lang w:eastAsia="zh-CN"/>
        </w:rPr>
        <w:t>四川铁道职业学院</w:t>
      </w:r>
      <w:r>
        <w:rPr>
          <w:rFonts w:hint="eastAsia" w:ascii="宋体" w:hAnsi="宋体" w:cs="宋体"/>
          <w:sz w:val="24"/>
          <w:szCs w:val="24"/>
          <w:u w:val="single"/>
        </w:rPr>
        <w:t>期刊</w:t>
      </w:r>
      <w:r>
        <w:rPr>
          <w:rFonts w:hint="eastAsia" w:hAnsi="宋体" w:cs="宋体"/>
          <w:bCs/>
          <w:sz w:val="24"/>
          <w:szCs w:val="24"/>
          <w:u w:val="single"/>
        </w:rPr>
        <w:t>采购</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六、投标截止时间和开标时间：2021</w:t>
      </w:r>
      <w:r>
        <w:rPr>
          <w:rFonts w:hint="eastAsia" w:hAnsi="宋体" w:cs="宋体"/>
          <w:bCs/>
          <w:sz w:val="24"/>
          <w:szCs w:val="24"/>
        </w:rPr>
        <w:t xml:space="preserve">年 </w:t>
      </w:r>
      <w:r>
        <w:rPr>
          <w:rFonts w:hint="eastAsia" w:hAnsi="宋体" w:cs="宋体"/>
          <w:bCs/>
          <w:sz w:val="24"/>
          <w:szCs w:val="24"/>
          <w:lang w:val="en-US" w:eastAsia="zh-CN"/>
        </w:rPr>
        <w:t>10</w:t>
      </w:r>
      <w:r>
        <w:rPr>
          <w:rFonts w:hint="eastAsia" w:hAnsi="宋体" w:cs="宋体"/>
          <w:bCs/>
          <w:sz w:val="24"/>
          <w:szCs w:val="24"/>
        </w:rPr>
        <w:t xml:space="preserve"> </w:t>
      </w:r>
      <w:r>
        <w:rPr>
          <w:rFonts w:hint="eastAsia" w:hAnsi="宋体" w:cs="宋体"/>
          <w:bCs/>
          <w:sz w:val="24"/>
          <w:szCs w:val="24"/>
          <w:lang w:val="en-US" w:eastAsia="zh-CN"/>
        </w:rPr>
        <w:t xml:space="preserve"> </w:t>
      </w:r>
      <w:r>
        <w:rPr>
          <w:rFonts w:hint="eastAsia" w:hAnsi="宋体" w:cs="宋体"/>
          <w:bCs/>
          <w:sz w:val="24"/>
          <w:szCs w:val="24"/>
        </w:rPr>
        <w:t xml:space="preserve">月 </w:t>
      </w:r>
      <w:r>
        <w:rPr>
          <w:rFonts w:hint="eastAsia" w:hAnsi="宋体" w:cs="宋体"/>
          <w:bCs/>
          <w:sz w:val="24"/>
          <w:szCs w:val="24"/>
          <w:lang w:val="en-US" w:eastAsia="zh-CN"/>
        </w:rPr>
        <w:t xml:space="preserve">20 </w:t>
      </w:r>
      <w:r>
        <w:rPr>
          <w:rFonts w:hint="eastAsia" w:hAnsi="宋体" w:cs="宋体"/>
          <w:bCs/>
          <w:sz w:val="24"/>
          <w:szCs w:val="24"/>
        </w:rPr>
        <w:t xml:space="preserve">日 </w:t>
      </w:r>
      <w:r>
        <w:rPr>
          <w:rFonts w:hint="eastAsia" w:hAnsi="宋体" w:cs="宋体"/>
          <w:bCs/>
          <w:sz w:val="24"/>
          <w:szCs w:val="24"/>
          <w:lang w:val="en-US" w:eastAsia="zh-CN"/>
        </w:rPr>
        <w:t>10:00</w:t>
      </w:r>
      <w:r>
        <w:rPr>
          <w:rFonts w:hint="eastAsia" w:hAnsi="宋体" w:cs="宋体"/>
          <w:bCs/>
          <w:sz w:val="24"/>
          <w:szCs w:val="24"/>
        </w:rPr>
        <w:t xml:space="preserve">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 xml:space="preserve">联系人：贺老师   </w:t>
      </w:r>
      <w:r>
        <w:rPr>
          <w:rFonts w:hint="eastAsia" w:hAnsi="宋体" w:cs="宋体"/>
          <w:sz w:val="24"/>
          <w:lang w:eastAsia="zh-CN"/>
        </w:rPr>
        <w:t>秦老师</w:t>
      </w:r>
    </w:p>
    <w:p>
      <w:pPr>
        <w:pStyle w:val="57"/>
        <w:snapToGrid w:val="0"/>
        <w:ind w:firstLine="919" w:firstLineChars="383"/>
        <w:rPr>
          <w:rFonts w:hint="default" w:hAnsi="宋体" w:eastAsia="宋体" w:cs="宋体"/>
          <w:sz w:val="24"/>
          <w:lang w:val="en-US" w:eastAsia="zh-CN"/>
        </w:rPr>
      </w:pPr>
      <w:r>
        <w:rPr>
          <w:rFonts w:hint="eastAsia" w:hAnsi="宋体" w:cs="宋体"/>
          <w:sz w:val="24"/>
        </w:rPr>
        <w:t xml:space="preserve">联系电话：028-68939969   </w:t>
      </w:r>
      <w:r>
        <w:rPr>
          <w:rFonts w:hint="eastAsia" w:hAnsi="宋体" w:cs="宋体"/>
          <w:sz w:val="24"/>
          <w:lang w:val="en-US" w:eastAsia="zh-CN"/>
        </w:rPr>
        <w:t>68939921</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358883242"/>
      <w:bookmarkStart w:id="6" w:name="_Toc213496267"/>
      <w:bookmarkStart w:id="7" w:name="_Toc213396759"/>
      <w:bookmarkStart w:id="8" w:name="_Toc217446031"/>
      <w:bookmarkStart w:id="9" w:name="_Toc213397009"/>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496268"/>
      <w:bookmarkStart w:id="12" w:name="_Toc213396946"/>
      <w:bookmarkStart w:id="13" w:name="_Toc189727030"/>
      <w:bookmarkStart w:id="14" w:name="_Toc217446032"/>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1425" w:firstLineChars="594"/>
              <w:jc w:val="both"/>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jc w:val="center"/>
              <w:rPr>
                <w:lang w:val="zh-CN"/>
              </w:rPr>
            </w:pPr>
            <w:r>
              <w:rPr>
                <w:rFonts w:hint="eastAsia"/>
                <w:lang w:val="zh-CN"/>
              </w:rPr>
              <w:t>地址：</w:t>
            </w:r>
            <w:r>
              <w:rPr>
                <w:rFonts w:hint="eastAsia"/>
              </w:rPr>
              <w:t>四川成都郫县安德镇彭温路399号</w:t>
            </w:r>
          </w:p>
          <w:p>
            <w:pPr>
              <w:pStyle w:val="59"/>
              <w:snapToGrid w:val="0"/>
              <w:spacing w:line="360" w:lineRule="auto"/>
              <w:ind w:firstLine="1440" w:firstLineChars="600"/>
              <w:jc w:val="both"/>
              <w:rPr>
                <w:lang w:val="zh-CN"/>
              </w:rPr>
            </w:pPr>
            <w:r>
              <w:rPr>
                <w:rFonts w:hint="eastAsia"/>
                <w:lang w:val="zh-CN"/>
              </w:rPr>
              <w:t>联 系 人：贺</w:t>
            </w:r>
            <w:r>
              <w:rPr>
                <w:rFonts w:hint="eastAsia"/>
              </w:rPr>
              <w:t>老师</w:t>
            </w:r>
          </w:p>
          <w:p>
            <w:pPr>
              <w:pStyle w:val="59"/>
              <w:snapToGrid w:val="0"/>
              <w:spacing w:line="360" w:lineRule="auto"/>
              <w:ind w:firstLine="1440" w:firstLineChars="600"/>
              <w:jc w:val="both"/>
              <w:rPr>
                <w:rFonts w:hint="default" w:eastAsia="宋体"/>
                <w:lang w:val="en-US" w:eastAsia="zh-CN"/>
              </w:rPr>
            </w:pPr>
            <w:r>
              <w:rPr>
                <w:rFonts w:hint="eastAsia"/>
                <w:lang w:val="zh-CN"/>
              </w:rPr>
              <w:t>联系电话：</w:t>
            </w:r>
            <w:r>
              <w:rPr>
                <w:rFonts w:hint="eastAsia"/>
              </w:rPr>
              <w:t>028-68939969</w:t>
            </w:r>
            <w:r>
              <w:rPr>
                <w:rFonts w:hint="eastAsia"/>
                <w:lang w:val="en-US" w:eastAsia="zh-CN"/>
              </w:rPr>
              <w:t xml:space="preserve">  68939921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jc w:val="center"/>
              <w:rPr>
                <w:lang w:val="zh-CN"/>
              </w:rPr>
            </w:pPr>
            <w:r>
              <w:rPr>
                <w:rFonts w:hint="eastAsia"/>
                <w:lang w:val="zh-CN"/>
              </w:rPr>
              <w:t>2022年度四川铁道职业学院期刊采购.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jc w:val="center"/>
              <w:rPr>
                <w:rFonts w:hint="default" w:eastAsia="宋体"/>
                <w:lang w:val="en-US" w:eastAsia="zh-CN"/>
              </w:rPr>
            </w:pPr>
            <w:r>
              <w:rPr>
                <w:rFonts w:hint="eastAsia"/>
                <w:lang w:val="en-US" w:eastAsia="zh-CN"/>
              </w:rPr>
              <w:t>TZY-2021021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jc w:val="center"/>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jc w:val="center"/>
            </w:pPr>
            <w:r>
              <w:rPr>
                <w:rFonts w:hint="eastAsia"/>
              </w:rPr>
              <w:t>13.5万元.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jc w:val="center"/>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jc w:val="center"/>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jc w:val="center"/>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center"/>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center"/>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center"/>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jc w:val="center"/>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2021</w:t>
            </w:r>
            <w:r>
              <w:rPr>
                <w:rFonts w:hint="eastAsia"/>
                <w:lang w:val="zh-CN"/>
              </w:rPr>
              <w:t>年</w:t>
            </w:r>
            <w:r>
              <w:rPr>
                <w:rFonts w:hint="eastAsia"/>
              </w:rPr>
              <w:t xml:space="preserve"> </w:t>
            </w:r>
            <w:r>
              <w:rPr>
                <w:rFonts w:hint="eastAsia"/>
                <w:lang w:val="en-US" w:eastAsia="zh-CN"/>
              </w:rPr>
              <w:t>10</w:t>
            </w:r>
            <w:r>
              <w:rPr>
                <w:rFonts w:hint="eastAsia"/>
              </w:rPr>
              <w:t xml:space="preserve"> 月 </w:t>
            </w:r>
            <w:r>
              <w:rPr>
                <w:rFonts w:hint="eastAsia"/>
                <w:lang w:val="en-US" w:eastAsia="zh-CN"/>
              </w:rPr>
              <w:t>20</w:t>
            </w:r>
            <w:r>
              <w:rPr>
                <w:rFonts w:hint="eastAsia"/>
              </w:rPr>
              <w:t xml:space="preserve"> </w:t>
            </w:r>
            <w:r>
              <w:rPr>
                <w:rFonts w:hint="eastAsia"/>
                <w:lang w:val="zh-CN"/>
              </w:rPr>
              <w:t>日</w:t>
            </w:r>
            <w:r>
              <w:rPr>
                <w:rFonts w:hint="eastAsia"/>
                <w:lang w:val="en-US" w:eastAsia="zh-CN"/>
              </w:rPr>
              <w:t xml:space="preserve"> 10:00 </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77400779"/>
      <w:bookmarkStart w:id="18" w:name="_Toc217446038"/>
      <w:bookmarkStart w:id="19" w:name="_Toc183682346"/>
      <w:bookmarkStart w:id="20" w:name="_Toc89075875"/>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217446042"/>
      <w:bookmarkStart w:id="29" w:name="_Toc183682351"/>
      <w:bookmarkStart w:id="30" w:name="_Toc77400780"/>
      <w:bookmarkStart w:id="31" w:name="_Toc89075876"/>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217446043"/>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217446051"/>
      <w:bookmarkStart w:id="47" w:name="_Toc18368236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183582226"/>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77400782"/>
      <w:bookmarkStart w:id="62" w:name="_Toc183582231"/>
      <w:bookmarkStart w:id="63" w:name="_Toc183682368"/>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56175382"/>
      <w:bookmarkStart w:id="89" w:name="_Toc237145385"/>
      <w:bookmarkStart w:id="90" w:name="_Toc297204985"/>
      <w:bookmarkStart w:id="91" w:name="_Toc263753600"/>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r>
        <w:rPr>
          <w:rFonts w:hint="eastAsia" w:hAnsi="宋体"/>
          <w:sz w:val="32"/>
          <w:szCs w:val="32"/>
        </w:rPr>
        <w:t>第四章  招标项目技术、商务及其他要求</w:t>
      </w:r>
    </w:p>
    <w:tbl>
      <w:tblPr>
        <w:tblStyle w:val="21"/>
        <w:tblW w:w="10309" w:type="dxa"/>
        <w:tblInd w:w="113" w:type="dxa"/>
        <w:tblLayout w:type="fixed"/>
        <w:tblCellMar>
          <w:top w:w="0" w:type="dxa"/>
          <w:left w:w="108" w:type="dxa"/>
          <w:bottom w:w="0" w:type="dxa"/>
          <w:right w:w="108" w:type="dxa"/>
        </w:tblCellMar>
      </w:tblPr>
      <w:tblGrid>
        <w:gridCol w:w="1313"/>
        <w:gridCol w:w="8996"/>
      </w:tblGrid>
      <w:tr>
        <w:tblPrEx>
          <w:tblCellMar>
            <w:top w:w="0" w:type="dxa"/>
            <w:left w:w="108" w:type="dxa"/>
            <w:bottom w:w="0" w:type="dxa"/>
            <w:right w:w="108" w:type="dxa"/>
          </w:tblCellMar>
        </w:tblPrEx>
        <w:trPr>
          <w:trHeight w:val="985"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64"/>
              <w:adjustRightInd w:val="0"/>
              <w:snapToGrid w:val="0"/>
              <w:ind w:firstLine="0" w:firstLineChars="0"/>
              <w:jc w:val="center"/>
              <w:rPr>
                <w:rFonts w:hAnsi="宋体"/>
                <w:sz w:val="24"/>
                <w:szCs w:val="24"/>
              </w:rPr>
            </w:pPr>
            <w:r>
              <w:rPr>
                <w:rFonts w:hint="eastAsia" w:hAnsi="宋体"/>
                <w:sz w:val="24"/>
                <w:szCs w:val="24"/>
              </w:rPr>
              <w:t>项目名称</w:t>
            </w:r>
          </w:p>
        </w:tc>
        <w:tc>
          <w:tcPr>
            <w:tcW w:w="8996" w:type="dxa"/>
            <w:tcBorders>
              <w:top w:val="single" w:color="auto" w:sz="4" w:space="0"/>
              <w:left w:val="nil"/>
              <w:bottom w:val="single" w:color="000000" w:sz="4" w:space="0"/>
              <w:right w:val="single" w:color="000000" w:sz="4" w:space="0"/>
            </w:tcBorders>
            <w:vAlign w:val="center"/>
          </w:tcPr>
          <w:p>
            <w:pPr>
              <w:pStyle w:val="64"/>
              <w:adjustRightInd w:val="0"/>
              <w:snapToGrid w:val="0"/>
              <w:ind w:firstLine="0" w:firstLineChars="0"/>
              <w:jc w:val="left"/>
              <w:rPr>
                <w:rFonts w:ascii="仿宋_GB2312" w:eastAsia="仿宋_GB2312"/>
                <w:sz w:val="24"/>
                <w:szCs w:val="24"/>
              </w:rPr>
            </w:pPr>
            <w:r>
              <w:rPr>
                <w:rFonts w:hint="eastAsia" w:ascii="宋体" w:hAnsi="宋体" w:cs="宋体"/>
                <w:b/>
                <w:bCs/>
                <w:color w:val="000000"/>
                <w:sz w:val="30"/>
                <w:szCs w:val="30"/>
              </w:rPr>
              <w:t>2022年度期刊采购</w:t>
            </w:r>
          </w:p>
        </w:tc>
      </w:tr>
      <w:tr>
        <w:tblPrEx>
          <w:tblCellMar>
            <w:top w:w="0" w:type="dxa"/>
            <w:left w:w="108" w:type="dxa"/>
            <w:bottom w:w="0" w:type="dxa"/>
            <w:right w:w="108" w:type="dxa"/>
          </w:tblCellMar>
        </w:tblPrEx>
        <w:trPr>
          <w:trHeight w:val="7057"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hAnsi="宋体"/>
                <w:sz w:val="24"/>
                <w:szCs w:val="24"/>
              </w:rPr>
            </w:pPr>
            <w:r>
              <w:rPr>
                <w:rFonts w:hint="eastAsia" w:hAnsi="宋体"/>
                <w:sz w:val="24"/>
                <w:szCs w:val="24"/>
              </w:rPr>
              <w:t>详细技术参数</w:t>
            </w:r>
          </w:p>
          <w:p>
            <w:pPr>
              <w:pStyle w:val="64"/>
              <w:adjustRightInd w:val="0"/>
              <w:snapToGrid w:val="0"/>
              <w:ind w:firstLine="0" w:firstLineChars="0"/>
              <w:jc w:val="left"/>
              <w:rPr>
                <w:sz w:val="24"/>
                <w:szCs w:val="24"/>
              </w:rPr>
            </w:pPr>
            <w:r>
              <w:rPr>
                <w:rFonts w:hint="eastAsia" w:hAnsi="宋体"/>
                <w:sz w:val="24"/>
                <w:szCs w:val="24"/>
              </w:rPr>
              <w:t>（包括：规格、型号、数量、技术要求和售后服务要求等）</w:t>
            </w:r>
          </w:p>
        </w:tc>
        <w:tc>
          <w:tcPr>
            <w:tcW w:w="8996" w:type="dxa"/>
            <w:tcBorders>
              <w:top w:val="single" w:color="auto" w:sz="4" w:space="0"/>
              <w:left w:val="nil"/>
              <w:bottom w:val="single" w:color="000000" w:sz="4" w:space="0"/>
              <w:right w:val="single" w:color="000000" w:sz="4" w:space="0"/>
            </w:tcBorders>
          </w:tcPr>
          <w:p>
            <w:pPr>
              <w:pStyle w:val="70"/>
              <w:snapToGrid w:val="0"/>
              <w:spacing w:line="360" w:lineRule="auto"/>
              <w:ind w:firstLine="480"/>
              <w:rPr>
                <w:rFonts w:hAnsi="宋体"/>
                <w:szCs w:val="24"/>
              </w:rPr>
            </w:pPr>
            <w:r>
              <w:rPr>
                <w:rFonts w:hint="eastAsia" w:hAnsi="宋体"/>
                <w:szCs w:val="24"/>
              </w:rPr>
              <w:t>1、应提供适合学院师生借阅的期刊，以铁道运输专业为主。</w:t>
            </w:r>
          </w:p>
          <w:p>
            <w:pPr>
              <w:pStyle w:val="70"/>
              <w:snapToGrid w:val="0"/>
              <w:spacing w:line="360" w:lineRule="auto"/>
              <w:ind w:firstLine="480"/>
              <w:rPr>
                <w:rFonts w:hAnsi="宋体"/>
                <w:szCs w:val="24"/>
              </w:rPr>
            </w:pPr>
            <w:r>
              <w:rPr>
                <w:rFonts w:hint="eastAsia" w:hAnsi="宋体"/>
                <w:szCs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70"/>
              <w:snapToGrid w:val="0"/>
              <w:spacing w:line="360" w:lineRule="auto"/>
              <w:ind w:firstLine="480"/>
              <w:rPr>
                <w:rFonts w:hAnsi="宋体"/>
                <w:szCs w:val="24"/>
              </w:rPr>
            </w:pPr>
            <w:r>
              <w:rPr>
                <w:rFonts w:hint="eastAsia" w:hAnsi="宋体"/>
                <w:szCs w:val="24"/>
              </w:rPr>
              <w:t>3、供应商提供2022年度期刊采购目录，期刊订购在2021年11月30日前完成，订购2022年度出版的期刊。</w:t>
            </w:r>
          </w:p>
          <w:p>
            <w:pPr>
              <w:pStyle w:val="70"/>
              <w:snapToGrid w:val="0"/>
              <w:spacing w:line="360" w:lineRule="auto"/>
              <w:ind w:firstLine="480"/>
              <w:rPr>
                <w:rFonts w:hAnsi="宋体"/>
                <w:szCs w:val="24"/>
              </w:rPr>
            </w:pPr>
            <w:r>
              <w:rPr>
                <w:rFonts w:hint="eastAsia" w:hAnsi="宋体"/>
                <w:szCs w:val="24"/>
              </w:rPr>
              <w:t>4、期刊采购方式以订单定购为主，2021年11月20日前，提供订单目录或网络订购目录并订购，其中有部分专业内部刊物（不属于邮局发行），要求供应商一并采购到位，所有服务均有专人负责跟进。目录经过双方确定期刊种类、数量、订价、总价后，由供应商根据双方确认的实洋开据符合财务制度的正规发票。</w:t>
            </w:r>
          </w:p>
          <w:p>
            <w:pPr>
              <w:pStyle w:val="70"/>
              <w:snapToGrid w:val="0"/>
              <w:spacing w:line="360" w:lineRule="auto"/>
              <w:ind w:firstLine="480"/>
              <w:rPr>
                <w:rFonts w:hAnsi="宋体"/>
                <w:szCs w:val="24"/>
              </w:rPr>
            </w:pPr>
            <w:r>
              <w:rPr>
                <w:rFonts w:hint="eastAsia" w:hAnsi="宋体"/>
                <w:szCs w:val="24"/>
              </w:rPr>
              <w:t>5、供应商所提供的期刊应为正式出版物，并保证来源合法，违者将承担全部法律和经济责任，所提供期刊引起的侵犯版权、宣传非法内容等法律责任和经济责任完全由供应商承担。</w:t>
            </w:r>
          </w:p>
          <w:p>
            <w:pPr>
              <w:pStyle w:val="70"/>
              <w:snapToGrid w:val="0"/>
              <w:spacing w:line="360" w:lineRule="auto"/>
              <w:ind w:firstLine="480"/>
              <w:rPr>
                <w:rFonts w:hAnsi="宋体"/>
                <w:szCs w:val="24"/>
              </w:rPr>
            </w:pPr>
            <w:r>
              <w:rPr>
                <w:rFonts w:hint="eastAsia" w:hAnsi="宋体"/>
                <w:szCs w:val="24"/>
              </w:rPr>
              <w:t>6、期刊品种采购率达到100％，如有特殊问题请在提供订单后一个月内及时反馈并进行协商。</w:t>
            </w:r>
          </w:p>
          <w:p>
            <w:pPr>
              <w:pStyle w:val="70"/>
              <w:snapToGrid w:val="0"/>
              <w:spacing w:line="360" w:lineRule="auto"/>
              <w:ind w:firstLine="480"/>
              <w:rPr>
                <w:rFonts w:hAnsi="宋体"/>
                <w:szCs w:val="24"/>
              </w:rPr>
            </w:pPr>
            <w:r>
              <w:rPr>
                <w:rFonts w:hint="eastAsia" w:hAnsi="宋体"/>
                <w:szCs w:val="24"/>
              </w:rPr>
              <w:t>7、期刊出版后一个月内到刊率要求达到99％以上，如有短缺，应及时补齐。</w:t>
            </w:r>
          </w:p>
          <w:p>
            <w:pPr>
              <w:pStyle w:val="70"/>
              <w:snapToGrid w:val="0"/>
              <w:spacing w:line="360" w:lineRule="auto"/>
              <w:ind w:firstLine="480"/>
              <w:rPr>
                <w:rFonts w:hAnsi="宋体"/>
                <w:szCs w:val="24"/>
              </w:rPr>
            </w:pPr>
            <w:r>
              <w:rPr>
                <w:rFonts w:hint="eastAsia" w:hAnsi="宋体"/>
                <w:szCs w:val="24"/>
              </w:rPr>
              <w:t>8、供应商提供期刊全加工服务，包括有：为每册期刊加盖馆藏章（每册期刊上盖2枚馆藏章，封面和书名页各一枚章，用红色印泥，要求端正、清晰）。埋设防盗磁条：加粘16厘米长可冲消钴基磁条，每册刊一般埋设一根，要求埋设磁条贴近期刊装订缝处，牢固隐蔽不易发现。在完成当年期刊送刊后，完成统一期刊装订工作（按精装过刊装订）。</w:t>
            </w:r>
          </w:p>
          <w:p>
            <w:pPr>
              <w:pStyle w:val="70"/>
              <w:snapToGrid w:val="0"/>
              <w:spacing w:line="360" w:lineRule="auto"/>
              <w:ind w:firstLine="480"/>
              <w:rPr>
                <w:rFonts w:hAnsi="宋体"/>
                <w:szCs w:val="24"/>
              </w:rPr>
            </w:pPr>
            <w:r>
              <w:rPr>
                <w:rFonts w:hint="eastAsia" w:hAnsi="宋体"/>
                <w:szCs w:val="24"/>
              </w:rPr>
              <w:t>9、期刊到馆要及时，在期刊发行后，最迟不能超过一个月，如有些刊因供应渠道的问题，需要推迟到馆的，需要进行说明并经过图书馆阅览室负责人同意。</w:t>
            </w:r>
          </w:p>
          <w:p>
            <w:pPr>
              <w:pStyle w:val="70"/>
              <w:snapToGrid w:val="0"/>
              <w:spacing w:line="360" w:lineRule="auto"/>
              <w:ind w:firstLine="480"/>
              <w:rPr>
                <w:rFonts w:hAnsi="宋体"/>
                <w:szCs w:val="24"/>
              </w:rPr>
            </w:pPr>
            <w:r>
              <w:rPr>
                <w:rFonts w:hint="eastAsia" w:hAnsi="宋体"/>
                <w:szCs w:val="24"/>
              </w:rPr>
              <w:t>10、根据期刊订购目录提供每种的MARC数据注录，注录内容必须包括：国际ISSN号或统一书号、正副题名、丛书名、著者、出版社名称、版次、出版年、价格、装订形式、开本、内容提要、读者对象、适用范围等。供应商要保证提供的MARC格式的数据能在图书馆集成化系统上无障碍使用。</w:t>
            </w:r>
          </w:p>
          <w:p>
            <w:pPr>
              <w:pStyle w:val="70"/>
              <w:snapToGrid w:val="0"/>
              <w:spacing w:line="360" w:lineRule="auto"/>
              <w:ind w:firstLine="480"/>
              <w:rPr>
                <w:rFonts w:hAnsi="宋体"/>
                <w:szCs w:val="24"/>
              </w:rPr>
            </w:pPr>
            <w:r>
              <w:rPr>
                <w:rFonts w:hint="eastAsia" w:hAnsi="宋体"/>
                <w:szCs w:val="24"/>
              </w:rPr>
              <w:t>11、送货</w:t>
            </w:r>
          </w:p>
          <w:p>
            <w:pPr>
              <w:pStyle w:val="70"/>
              <w:snapToGrid w:val="0"/>
              <w:spacing w:line="360" w:lineRule="auto"/>
              <w:ind w:firstLine="480"/>
              <w:rPr>
                <w:rFonts w:hAnsi="宋体"/>
                <w:szCs w:val="24"/>
              </w:rPr>
            </w:pPr>
            <w:r>
              <w:rPr>
                <w:rFonts w:hint="eastAsia" w:hAnsi="宋体"/>
                <w:szCs w:val="24"/>
              </w:rPr>
              <w:t>1）供应商应建立单独数据库，便于供应商及采购人内部查询，如出现供应商数据库与采购人系统签到期刊不相符，以送货单为准，缺刊的在一个月内补齐。</w:t>
            </w:r>
          </w:p>
          <w:p>
            <w:pPr>
              <w:pStyle w:val="70"/>
              <w:snapToGrid w:val="0"/>
              <w:spacing w:line="360" w:lineRule="auto"/>
              <w:ind w:firstLine="480"/>
              <w:rPr>
                <w:rFonts w:hAnsi="宋体"/>
                <w:szCs w:val="24"/>
              </w:rPr>
            </w:pPr>
            <w:r>
              <w:rPr>
                <w:rFonts w:hint="eastAsia" w:hAnsi="宋体"/>
                <w:szCs w:val="24"/>
              </w:rPr>
              <w:t>2）如果期刊送货顺序与出版顺序不一致，供应商应说明且尽快补齐。</w:t>
            </w:r>
          </w:p>
          <w:p>
            <w:pPr>
              <w:pStyle w:val="70"/>
              <w:snapToGrid w:val="0"/>
              <w:spacing w:line="360" w:lineRule="auto"/>
              <w:ind w:firstLine="480"/>
              <w:rPr>
                <w:rFonts w:hAnsi="宋体"/>
                <w:szCs w:val="24"/>
              </w:rPr>
            </w:pPr>
            <w:r>
              <w:rPr>
                <w:rFonts w:hint="eastAsia" w:hAnsi="宋体"/>
                <w:szCs w:val="24"/>
              </w:rPr>
              <w:t>3）供应商就所缺期刊及期数每三个月列一个缺货清单送达图书馆期刊阅览室负责人。</w:t>
            </w:r>
          </w:p>
          <w:p>
            <w:pPr>
              <w:pStyle w:val="70"/>
              <w:snapToGrid w:val="0"/>
              <w:spacing w:line="360" w:lineRule="auto"/>
              <w:ind w:firstLine="480"/>
              <w:rPr>
                <w:rFonts w:hAnsi="宋体"/>
                <w:szCs w:val="24"/>
              </w:rPr>
            </w:pPr>
            <w:r>
              <w:rPr>
                <w:rFonts w:hint="eastAsia" w:hAnsi="宋体"/>
                <w:szCs w:val="24"/>
              </w:rPr>
              <w:t>12、核算</w:t>
            </w:r>
          </w:p>
          <w:p>
            <w:pPr>
              <w:pStyle w:val="70"/>
              <w:snapToGrid w:val="0"/>
              <w:spacing w:line="360" w:lineRule="auto"/>
              <w:ind w:firstLine="480"/>
              <w:rPr>
                <w:rFonts w:hAnsi="宋体"/>
                <w:szCs w:val="24"/>
              </w:rPr>
            </w:pPr>
            <w:r>
              <w:rPr>
                <w:rFonts w:hint="eastAsia" w:hAnsi="宋体"/>
                <w:szCs w:val="24"/>
              </w:rPr>
              <w:t>1）以中文期刊采购明细表的目录作为计算期刊款的依据，以中标商的投标报价核算（以折扣率报价）。</w:t>
            </w:r>
          </w:p>
          <w:p>
            <w:pPr>
              <w:pStyle w:val="70"/>
              <w:snapToGrid w:val="0"/>
              <w:spacing w:line="360" w:lineRule="auto"/>
              <w:ind w:firstLine="480"/>
              <w:rPr>
                <w:rFonts w:hAnsi="宋体"/>
                <w:szCs w:val="24"/>
              </w:rPr>
            </w:pPr>
            <w:r>
              <w:rPr>
                <w:rFonts w:hint="eastAsia" w:hAnsi="宋体"/>
                <w:szCs w:val="24"/>
              </w:rPr>
              <w:t>2）投标报价不能超过中文纸质期刊项目的限价。</w:t>
            </w:r>
          </w:p>
          <w:p>
            <w:pPr>
              <w:spacing w:line="360" w:lineRule="auto"/>
              <w:ind w:firstLine="480" w:firstLineChars="200"/>
              <w:rPr>
                <w:rFonts w:hAnsi="宋体"/>
                <w:sz w:val="24"/>
              </w:rPr>
            </w:pPr>
            <w:r>
              <w:rPr>
                <w:rFonts w:hint="eastAsia" w:ascii="Times New Roman" w:hAnsi="宋体" w:cs="宋体"/>
                <w:sz w:val="24"/>
                <w:szCs w:val="24"/>
              </w:rPr>
              <w:t>3）因出版方原因中途停刊、断刊的，供应商应在2022年期刊配送完成后提供相应目录并退还期刊款。</w:t>
            </w:r>
          </w:p>
        </w:tc>
      </w:tr>
      <w:tr>
        <w:tblPrEx>
          <w:tblCellMar>
            <w:top w:w="0" w:type="dxa"/>
            <w:left w:w="108" w:type="dxa"/>
            <w:bottom w:w="0" w:type="dxa"/>
            <w:right w:w="108" w:type="dxa"/>
          </w:tblCellMar>
        </w:tblPrEx>
        <w:trPr>
          <w:trHeight w:val="1344" w:hRule="atLeast"/>
        </w:trPr>
        <w:tc>
          <w:tcPr>
            <w:tcW w:w="1313" w:type="dxa"/>
            <w:tcBorders>
              <w:top w:val="single" w:color="000000" w:sz="4" w:space="0"/>
              <w:left w:val="single" w:color="000000" w:sz="4" w:space="0"/>
              <w:bottom w:val="single" w:color="000000" w:sz="4" w:space="0"/>
              <w:right w:val="single" w:color="000000" w:sz="4" w:space="0"/>
            </w:tcBorders>
            <w:vAlign w:val="center"/>
          </w:tcPr>
          <w:p>
            <w:pPr>
              <w:pStyle w:val="64"/>
              <w:adjustRightInd w:val="0"/>
              <w:snapToGrid w:val="0"/>
              <w:ind w:firstLine="0" w:firstLineChars="0"/>
              <w:jc w:val="center"/>
              <w:rPr>
                <w:rFonts w:hAnsi="宋体"/>
                <w:sz w:val="24"/>
                <w:szCs w:val="24"/>
              </w:rPr>
            </w:pPr>
            <w:r>
              <w:rPr>
                <w:rFonts w:hint="eastAsia" w:hAnsi="宋体"/>
                <w:sz w:val="24"/>
                <w:szCs w:val="24"/>
              </w:rPr>
              <w:t>验收内容</w:t>
            </w:r>
          </w:p>
          <w:p>
            <w:pPr>
              <w:pStyle w:val="64"/>
              <w:adjustRightInd w:val="0"/>
              <w:snapToGrid w:val="0"/>
              <w:ind w:firstLine="0" w:firstLineChars="0"/>
              <w:jc w:val="center"/>
              <w:rPr>
                <w:rFonts w:hAnsi="宋体"/>
                <w:sz w:val="24"/>
                <w:szCs w:val="24"/>
              </w:rPr>
            </w:pPr>
            <w:r>
              <w:rPr>
                <w:rFonts w:hint="eastAsia" w:hAnsi="宋体"/>
                <w:sz w:val="24"/>
                <w:szCs w:val="24"/>
              </w:rPr>
              <w:t>及标准</w:t>
            </w:r>
          </w:p>
        </w:tc>
        <w:tc>
          <w:tcPr>
            <w:tcW w:w="8996" w:type="dxa"/>
            <w:tcBorders>
              <w:top w:val="single" w:color="000000" w:sz="4" w:space="0"/>
              <w:left w:val="nil"/>
              <w:bottom w:val="single" w:color="000000" w:sz="4" w:space="0"/>
              <w:right w:val="single" w:color="000000" w:sz="4" w:space="0"/>
            </w:tcBorders>
            <w:vAlign w:val="center"/>
          </w:tcPr>
          <w:p>
            <w:pPr>
              <w:pStyle w:val="70"/>
              <w:snapToGrid w:val="0"/>
              <w:spacing w:line="360" w:lineRule="auto"/>
              <w:ind w:firstLine="480"/>
              <w:rPr>
                <w:rFonts w:hAnsi="宋体"/>
                <w:szCs w:val="24"/>
              </w:rPr>
            </w:pPr>
            <w:r>
              <w:rPr>
                <w:rFonts w:hint="eastAsia" w:hAnsi="宋体"/>
                <w:szCs w:val="24"/>
              </w:rPr>
              <w:t>1、乙方在合同签订生效之日起</w:t>
            </w:r>
            <w:r>
              <w:rPr>
                <w:rFonts w:hint="eastAsia" w:hAnsi="宋体"/>
                <w:szCs w:val="24"/>
                <w:u w:val="single"/>
              </w:rPr>
              <w:t xml:space="preserve"> 30 </w:t>
            </w:r>
            <w:r>
              <w:rPr>
                <w:rFonts w:hint="eastAsia" w:hAnsi="宋体"/>
                <w:szCs w:val="24"/>
              </w:rPr>
              <w:t>天内交货到甲方指定地点，随即在</w:t>
            </w:r>
            <w:r>
              <w:rPr>
                <w:rFonts w:hint="eastAsia" w:hAnsi="宋体"/>
                <w:szCs w:val="24"/>
                <w:u w:val="single"/>
              </w:rPr>
              <w:t>2</w:t>
            </w:r>
            <w:r>
              <w:rPr>
                <w:rFonts w:hint="eastAsia" w:hAnsi="宋体"/>
                <w:szCs w:val="24"/>
              </w:rPr>
              <w:t>日内全部完成上架、数据导入数据库验收合格交付使用。交货时</w:t>
            </w:r>
            <w:r>
              <w:rPr>
                <w:rFonts w:hint="eastAsia"/>
              </w:rPr>
              <w:t>须按每批次每包编号，相同分类号打包，每包的清单内容要与实际的期刊名称、单价、版次相符</w:t>
            </w:r>
            <w:r>
              <w:rPr>
                <w:rFonts w:hint="eastAsia" w:hAnsi="宋体"/>
                <w:szCs w:val="24"/>
              </w:rPr>
              <w:t>。交货验收时须提供产品质检部门从同类产品中抽样检查合格的检测报告。</w:t>
            </w:r>
          </w:p>
          <w:p>
            <w:pPr>
              <w:pStyle w:val="70"/>
              <w:snapToGrid w:val="0"/>
              <w:spacing w:line="360" w:lineRule="auto"/>
              <w:ind w:firstLine="480"/>
              <w:rPr>
                <w:rFonts w:hAnsi="宋体"/>
                <w:szCs w:val="24"/>
              </w:rPr>
            </w:pPr>
            <w:r>
              <w:rPr>
                <w:rFonts w:hint="eastAsia" w:hAnsi="宋体"/>
                <w:szCs w:val="24"/>
              </w:rPr>
              <w:t>2、验收由甲方组织，乙方配合进行：</w:t>
            </w:r>
          </w:p>
          <w:p>
            <w:pPr>
              <w:pStyle w:val="70"/>
              <w:snapToGrid w:val="0"/>
              <w:spacing w:line="360" w:lineRule="auto"/>
              <w:ind w:firstLine="480"/>
              <w:rPr>
                <w:rFonts w:hAnsi="宋体"/>
                <w:szCs w:val="24"/>
              </w:rPr>
            </w:pPr>
            <w:r>
              <w:rPr>
                <w:rFonts w:hint="eastAsia" w:hAnsi="宋体"/>
                <w:szCs w:val="24"/>
              </w:rPr>
              <w:t>（1）货物在乙方通知配送完毕后</w:t>
            </w:r>
            <w:r>
              <w:rPr>
                <w:rFonts w:hint="eastAsia" w:hAnsi="宋体"/>
                <w:szCs w:val="24"/>
                <w:u w:val="single"/>
              </w:rPr>
              <w:t>7</w:t>
            </w:r>
            <w:r>
              <w:rPr>
                <w:rFonts w:hint="eastAsia" w:hAnsi="宋体"/>
                <w:szCs w:val="24"/>
              </w:rPr>
              <w:t>日内验收。</w:t>
            </w:r>
          </w:p>
          <w:p>
            <w:pPr>
              <w:pStyle w:val="70"/>
              <w:snapToGrid w:val="0"/>
              <w:spacing w:line="360" w:lineRule="auto"/>
              <w:ind w:firstLine="480"/>
              <w:rPr>
                <w:rFonts w:ascii="Verdana" w:hAnsi="Verdana"/>
                <w:color w:val="000000"/>
                <w:szCs w:val="24"/>
              </w:rPr>
            </w:pPr>
            <w:r>
              <w:rPr>
                <w:rFonts w:hint="eastAsia" w:hAnsi="宋体"/>
                <w:szCs w:val="24"/>
              </w:rPr>
              <w:t>（2）</w:t>
            </w:r>
            <w:r>
              <w:rPr>
                <w:rFonts w:hint="eastAsia" w:ascii="Verdana" w:hAnsi="Verdana"/>
                <w:color w:val="000000"/>
                <w:szCs w:val="24"/>
              </w:rPr>
              <w:t>期刊到馆验收要求完好无损，如在运送过程中有破损、遗失等情况，应由中标公司负责退换或赔偿。</w:t>
            </w:r>
          </w:p>
          <w:p>
            <w:pPr>
              <w:pStyle w:val="70"/>
              <w:snapToGrid w:val="0"/>
              <w:spacing w:line="360" w:lineRule="auto"/>
              <w:ind w:firstLine="480"/>
              <w:rPr>
                <w:rFonts w:ascii="Verdana" w:hAnsi="Verdana"/>
                <w:color w:val="000000"/>
                <w:szCs w:val="24"/>
              </w:rPr>
            </w:pPr>
            <w:r>
              <w:rPr>
                <w:rFonts w:hint="eastAsia" w:ascii="Verdana" w:hAnsi="Verdana"/>
                <w:color w:val="000000"/>
                <w:szCs w:val="24"/>
              </w:rPr>
              <w:t>（</w:t>
            </w:r>
            <w:r>
              <w:rPr>
                <w:rFonts w:hint="eastAsia" w:ascii="宋体" w:hAnsi="宋体"/>
                <w:color w:val="000000"/>
                <w:szCs w:val="24"/>
              </w:rPr>
              <w:t>3）</w:t>
            </w:r>
            <w:r>
              <w:rPr>
                <w:rFonts w:hint="eastAsia" w:ascii="Verdana" w:hAnsi="Verdana"/>
                <w:color w:val="000000"/>
                <w:szCs w:val="24"/>
              </w:rPr>
              <w:t>期刊出现装订、印刷等质量问题和损坏时，供应商应无条件退换。</w:t>
            </w:r>
          </w:p>
          <w:p>
            <w:pPr>
              <w:pStyle w:val="70"/>
              <w:snapToGrid w:val="0"/>
              <w:spacing w:line="360" w:lineRule="auto"/>
              <w:ind w:firstLine="480"/>
              <w:rPr>
                <w:rFonts w:hAnsi="宋体"/>
                <w:szCs w:val="24"/>
              </w:rPr>
            </w:pPr>
            <w:r>
              <w:rPr>
                <w:rFonts w:hint="eastAsia" w:hAnsi="宋体"/>
                <w:szCs w:val="24"/>
              </w:rPr>
              <w:t>（4） 验收标准：按国家有关规定以及甲方招标文件的质量要求和技术指标、乙方的投标文件及承诺与合同约定标准进行验收；甲乙双方如对质量要求和技术指标的约定标准有相互抵触或异议的事项，由甲方按质量要求和技术指标比较优胜的原则确定该项的约定标准进行验收。</w:t>
            </w:r>
          </w:p>
          <w:p>
            <w:pPr>
              <w:pStyle w:val="70"/>
              <w:snapToGrid w:val="0"/>
              <w:spacing w:line="360" w:lineRule="auto"/>
              <w:ind w:firstLine="480"/>
              <w:rPr>
                <w:rFonts w:hAnsi="宋体"/>
                <w:szCs w:val="24"/>
              </w:rPr>
            </w:pPr>
            <w:r>
              <w:rPr>
                <w:rFonts w:hint="eastAsia" w:hAnsi="宋体"/>
                <w:szCs w:val="24"/>
              </w:rPr>
              <w:t>（5）验收时如发现所交付的期刊与甲方所提供的期刊采购目录不符、有缺章少页、次品、损坏或其它不符合标准及本文件规定之情形者，甲方应做出详尽的现场记录，或由甲乙双方签署备忘录，此现场记录或备忘录可用作补充、缺失和更换损坏期刊的有效证据，由此产生的时间延误与有关费用由乙方承担，验收期限相应顺延。</w:t>
            </w:r>
          </w:p>
          <w:p>
            <w:pPr>
              <w:pStyle w:val="70"/>
              <w:snapToGrid w:val="0"/>
              <w:spacing w:line="360" w:lineRule="auto"/>
              <w:ind w:firstLine="480"/>
              <w:rPr>
                <w:rFonts w:hAnsi="宋体"/>
                <w:szCs w:val="24"/>
              </w:rPr>
            </w:pPr>
            <w:r>
              <w:rPr>
                <w:rFonts w:hint="eastAsia" w:hAnsi="宋体"/>
                <w:szCs w:val="24"/>
              </w:rPr>
              <w:t>（6）如质量验收合格，双方签署质量验收报告。</w:t>
            </w:r>
          </w:p>
          <w:p>
            <w:pPr>
              <w:pStyle w:val="70"/>
              <w:snapToGrid w:val="0"/>
              <w:spacing w:line="360" w:lineRule="auto"/>
              <w:ind w:firstLine="480"/>
              <w:rPr>
                <w:rFonts w:hAnsi="宋体"/>
                <w:szCs w:val="24"/>
              </w:rPr>
            </w:pPr>
            <w:r>
              <w:rPr>
                <w:rFonts w:hint="eastAsia" w:hAnsi="宋体"/>
                <w:szCs w:val="24"/>
              </w:rPr>
              <w:t>3、货物配送完成后</w:t>
            </w:r>
            <w:r>
              <w:rPr>
                <w:rFonts w:hint="eastAsia" w:hAnsi="宋体"/>
                <w:szCs w:val="24"/>
                <w:u w:val="single"/>
              </w:rPr>
              <w:t>7</w:t>
            </w:r>
            <w:r>
              <w:rPr>
                <w:rFonts w:hint="eastAsia" w:hAnsi="宋体"/>
                <w:szCs w:val="24"/>
              </w:rPr>
              <w:t>日内，甲方无故不进行验收工作并已使用货物的，视同已安装调试完成并验收合格。</w:t>
            </w:r>
          </w:p>
          <w:p>
            <w:pPr>
              <w:pStyle w:val="70"/>
              <w:snapToGrid w:val="0"/>
              <w:spacing w:line="360" w:lineRule="auto"/>
              <w:ind w:firstLine="480"/>
              <w:rPr>
                <w:rFonts w:hAnsi="宋体"/>
                <w:szCs w:val="24"/>
              </w:rPr>
            </w:pPr>
            <w:r>
              <w:rPr>
                <w:rFonts w:hint="eastAsia" w:hAnsi="宋体"/>
                <w:szCs w:val="24"/>
              </w:rPr>
              <w:t>4、其它未尽事宜应按照《四川省政府采购项目需求论证和履约验收管理办法》（川财采（2015）32号）的要求进行。</w:t>
            </w:r>
          </w:p>
        </w:tc>
      </w:tr>
      <w:bookmarkEnd w:id="97"/>
    </w:tbl>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ind w:firstLine="2891" w:firstLineChars="900"/>
        <w:jc w:val="both"/>
        <w:rPr>
          <w:rFonts w:hint="eastAsia" w:hAnsi="宋体"/>
          <w:sz w:val="32"/>
          <w:szCs w:val="32"/>
        </w:rPr>
      </w:pPr>
    </w:p>
    <w:p>
      <w:pPr>
        <w:pStyle w:val="4"/>
        <w:snapToGrid w:val="0"/>
        <w:spacing w:before="0" w:after="0" w:line="240" w:lineRule="auto"/>
        <w:ind w:firstLine="2891" w:firstLineChars="9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分。招标主要考评因素包括投标报价（30</w:t>
      </w:r>
      <w:r>
        <w:rPr>
          <w:rFonts w:hAnsi="宋体"/>
          <w:color w:val="000000"/>
          <w:sz w:val="24"/>
        </w:rPr>
        <w:t>%</w:t>
      </w:r>
      <w:r>
        <w:rPr>
          <w:rFonts w:hint="eastAsia" w:hAnsi="宋体"/>
          <w:color w:val="000000"/>
          <w:sz w:val="24"/>
        </w:rPr>
        <w:t>）、技术性能（40</w:t>
      </w:r>
      <w:r>
        <w:rPr>
          <w:rFonts w:hAnsi="宋体"/>
          <w:color w:val="000000"/>
          <w:sz w:val="24"/>
        </w:rPr>
        <w:t>%</w:t>
      </w:r>
      <w:r>
        <w:rPr>
          <w:rFonts w:hint="eastAsia" w:hAnsi="宋体"/>
          <w:color w:val="000000"/>
          <w:sz w:val="24"/>
        </w:rPr>
        <w:t>）和综合商务部分（30</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10386"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245"/>
        <w:gridCol w:w="245"/>
        <w:gridCol w:w="24"/>
        <w:gridCol w:w="19"/>
        <w:gridCol w:w="732"/>
        <w:gridCol w:w="273"/>
        <w:gridCol w:w="14"/>
        <w:gridCol w:w="2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7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bookmarkEnd w:id="41"/>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86"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 、投标报价（满分 </w:t>
            </w:r>
            <w:r>
              <w:rPr>
                <w:rFonts w:hint="eastAsia" w:hAnsi="宋体" w:cs="宋体"/>
                <w:bCs/>
                <w:spacing w:val="8"/>
                <w:sz w:val="24"/>
                <w:szCs w:val="24"/>
              </w:rPr>
              <w:t>3</w:t>
            </w:r>
            <w:r>
              <w:rPr>
                <w:rFonts w:hAnsi="宋体" w:cs="宋体"/>
                <w:bCs/>
                <w:spacing w:val="8"/>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43"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1038" w:type="dxa"/>
            <w:gridSpan w:val="4"/>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30</w:t>
            </w:r>
          </w:p>
        </w:tc>
        <w:tc>
          <w:tcPr>
            <w:tcW w:w="7132" w:type="dxa"/>
            <w:gridSpan w:val="2"/>
            <w:tcBorders>
              <w:left w:val="single" w:color="auto" w:sz="4" w:space="0"/>
            </w:tcBorders>
            <w:vAlign w:val="center"/>
          </w:tcPr>
          <w:p>
            <w:pPr>
              <w:spacing w:line="360" w:lineRule="auto"/>
              <w:rPr>
                <w:rFonts w:hAnsi="宋体" w:cs="宋体"/>
                <w:bCs/>
                <w:spacing w:val="8"/>
                <w:sz w:val="24"/>
                <w:szCs w:val="24"/>
              </w:rPr>
            </w:pPr>
            <w:r>
              <w:rPr>
                <w:rFonts w:hint="eastAsia" w:hAnsi="宋体" w:cs="宋体"/>
                <w:sz w:val="24"/>
                <w:szCs w:val="24"/>
              </w:rPr>
              <w:t>投标文件中的有效最高折扣率为基准折扣率，投标报价得分</w:t>
            </w:r>
            <w:r>
              <w:rPr>
                <w:rFonts w:hAnsi="宋体" w:cs="宋体"/>
                <w:sz w:val="24"/>
                <w:szCs w:val="24"/>
              </w:rPr>
              <w:t>=</w:t>
            </w:r>
            <w:r>
              <w:rPr>
                <w:rFonts w:hint="eastAsia" w:hAnsi="宋体" w:cs="宋体"/>
                <w:sz w:val="24"/>
                <w:szCs w:val="24"/>
              </w:rPr>
              <w:t>（投标折扣率／基准折扣率）×3</w:t>
            </w:r>
            <w:r>
              <w:rPr>
                <w:rFonts w:hAnsi="宋体" w:cs="宋体"/>
                <w:sz w:val="24"/>
                <w:szCs w:val="24"/>
              </w:rPr>
              <w:t>0</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86"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、技术性能（满分 </w:t>
            </w:r>
            <w:r>
              <w:rPr>
                <w:rFonts w:hint="eastAsia" w:hAnsi="宋体" w:cs="宋体"/>
                <w:bCs/>
                <w:spacing w:val="8"/>
                <w:sz w:val="24"/>
                <w:szCs w:val="24"/>
              </w:rPr>
              <w:t>40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dxa"/>
            <w:gridSpan w:val="2"/>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52"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7" w:type="dxa"/>
            <w:gridSpan w:val="4"/>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7104" w:type="dxa"/>
            <w:tcBorders>
              <w:left w:val="single" w:color="auto" w:sz="4" w:space="0"/>
            </w:tcBorders>
            <w:vAlign w:val="center"/>
          </w:tcPr>
          <w:p>
            <w:pPr>
              <w:pStyle w:val="55"/>
              <w:numPr>
                <w:ilvl w:val="0"/>
                <w:numId w:val="6"/>
              </w:numPr>
              <w:adjustRightInd w:val="0"/>
              <w:snapToGrid w:val="0"/>
              <w:spacing w:line="360" w:lineRule="auto"/>
              <w:ind w:firstLineChars="0"/>
              <w:rPr>
                <w:rFonts w:ascii="Verdana" w:hAnsi="Verdana" w:cs="宋体"/>
                <w:color w:val="000000"/>
                <w:sz w:val="24"/>
                <w:szCs w:val="24"/>
              </w:rPr>
            </w:pPr>
            <w:r>
              <w:rPr>
                <w:rFonts w:ascii="Verdana" w:hAnsi="Verdana" w:cs="宋体"/>
                <w:color w:val="000000"/>
                <w:sz w:val="24"/>
                <w:szCs w:val="24"/>
              </w:rPr>
              <w:t>采访及编目数据</w:t>
            </w:r>
            <w:r>
              <w:rPr>
                <w:rFonts w:hint="eastAsia" w:ascii="Verdana" w:hAnsi="Verdana" w:cs="宋体"/>
                <w:color w:val="000000"/>
                <w:sz w:val="24"/>
                <w:szCs w:val="24"/>
              </w:rPr>
              <w:t>（</w:t>
            </w:r>
            <w:r>
              <w:rPr>
                <w:rFonts w:hint="eastAsia" w:ascii="宋体" w:hAnsi="宋体" w:cs="宋体"/>
                <w:color w:val="000000"/>
                <w:sz w:val="24"/>
                <w:szCs w:val="24"/>
              </w:rPr>
              <w:t>6</w:t>
            </w:r>
            <w:r>
              <w:rPr>
                <w:rFonts w:hint="eastAsia" w:ascii="Verdana" w:hAnsi="Verdana" w:cs="宋体"/>
                <w:color w:val="000000"/>
                <w:sz w:val="24"/>
                <w:szCs w:val="24"/>
              </w:rPr>
              <w:t>分）：</w:t>
            </w:r>
          </w:p>
          <w:p>
            <w:pPr>
              <w:adjustRightInd w:val="0"/>
              <w:snapToGrid w:val="0"/>
              <w:spacing w:line="360" w:lineRule="auto"/>
              <w:rPr>
                <w:rFonts w:ascii="Verdana" w:hAnsi="Verdana" w:cs="宋体"/>
                <w:color w:val="000000"/>
                <w:sz w:val="24"/>
                <w:szCs w:val="24"/>
              </w:rPr>
            </w:pPr>
            <w:r>
              <w:rPr>
                <w:rFonts w:ascii="Verdana" w:hAnsi="Verdana" w:cs="宋体"/>
                <w:color w:val="000000"/>
                <w:sz w:val="24"/>
                <w:szCs w:val="24"/>
              </w:rPr>
              <w:t>全面及时提供纸质版和电子版期刊采访目录，得</w:t>
            </w:r>
            <w:r>
              <w:rPr>
                <w:rFonts w:hint="eastAsia" w:hAnsi="宋体" w:cs="宋体"/>
                <w:color w:val="000000"/>
                <w:sz w:val="24"/>
                <w:szCs w:val="24"/>
              </w:rPr>
              <w:t>3</w:t>
            </w:r>
            <w:r>
              <w:rPr>
                <w:rFonts w:ascii="Verdana" w:hAnsi="Verdana" w:cs="宋体"/>
                <w:color w:val="000000"/>
                <w:sz w:val="24"/>
                <w:szCs w:val="24"/>
              </w:rPr>
              <w:t>分；提供适合馆藏的完整期刊编目</w:t>
            </w:r>
            <w:r>
              <w:rPr>
                <w:rFonts w:hAnsi="宋体" w:cs="宋体"/>
                <w:color w:val="000000"/>
                <w:sz w:val="24"/>
                <w:szCs w:val="24"/>
              </w:rPr>
              <w:t>MARC数据，（附MARC</w:t>
            </w:r>
            <w:r>
              <w:rPr>
                <w:rFonts w:ascii="Verdana" w:hAnsi="Verdana" w:cs="宋体"/>
                <w:color w:val="000000"/>
                <w:sz w:val="24"/>
                <w:szCs w:val="24"/>
              </w:rPr>
              <w:t>详细加工样式）完</w:t>
            </w:r>
            <w:r>
              <w:rPr>
                <w:rFonts w:hint="eastAsia" w:ascii="Verdana" w:hAnsi="Verdana" w:cs="宋体"/>
                <w:color w:val="000000"/>
                <w:sz w:val="24"/>
                <w:szCs w:val="24"/>
              </w:rPr>
              <w:t>全</w:t>
            </w:r>
            <w:r>
              <w:rPr>
                <w:rFonts w:ascii="Verdana" w:hAnsi="Verdana" w:cs="宋体"/>
                <w:color w:val="000000"/>
                <w:sz w:val="24"/>
                <w:szCs w:val="24"/>
              </w:rPr>
              <w:t>符合得</w:t>
            </w:r>
            <w:r>
              <w:rPr>
                <w:rFonts w:hint="eastAsia" w:hAnsi="宋体" w:cs="宋体"/>
                <w:color w:val="000000"/>
                <w:sz w:val="24"/>
                <w:szCs w:val="24"/>
              </w:rPr>
              <w:t>3</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cs="宋体"/>
                <w:sz w:val="24"/>
                <w:szCs w:val="24"/>
              </w:rPr>
              <w:t>送货承诺（5分）：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投标人承诺提供送货到馆服务得</w:t>
            </w:r>
            <w:r>
              <w:rPr>
                <w:rFonts w:hAnsi="宋体" w:cs="宋体"/>
                <w:color w:val="000000"/>
                <w:sz w:val="24"/>
                <w:szCs w:val="24"/>
              </w:rPr>
              <w:t>3</w:t>
            </w:r>
            <w:r>
              <w:rPr>
                <w:rFonts w:ascii="Verdana" w:hAnsi="Verdana" w:cs="宋体"/>
                <w:color w:val="000000"/>
                <w:sz w:val="24"/>
                <w:szCs w:val="24"/>
              </w:rPr>
              <w:t>分；每周至少一次得</w:t>
            </w:r>
            <w:r>
              <w:rPr>
                <w:rFonts w:hAnsi="宋体" w:cs="宋体"/>
                <w:color w:val="000000"/>
                <w:sz w:val="24"/>
                <w:szCs w:val="24"/>
              </w:rPr>
              <w:t>2</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sz w:val="24"/>
                <w:szCs w:val="24"/>
              </w:rPr>
              <w:t>清单（3分</w:t>
            </w:r>
            <w:r>
              <w:rPr>
                <w:rFonts w:hAnsi="宋体"/>
                <w:sz w:val="24"/>
                <w:szCs w:val="24"/>
              </w:rPr>
              <w:t>）</w:t>
            </w:r>
            <w:r>
              <w:rPr>
                <w:rFonts w:hint="eastAsia" w:hAnsi="宋体"/>
                <w:sz w:val="24"/>
                <w:szCs w:val="24"/>
              </w:rPr>
              <w:t>：</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详尽（含总清单和包清单）得</w:t>
            </w:r>
            <w:r>
              <w:rPr>
                <w:rFonts w:hint="eastAsia" w:hAnsi="宋体" w:cs="宋体"/>
                <w:color w:val="000000"/>
                <w:sz w:val="24"/>
                <w:szCs w:val="24"/>
              </w:rPr>
              <w:t>3</w:t>
            </w:r>
            <w:r>
              <w:rPr>
                <w:rFonts w:ascii="Verdana" w:hAnsi="Verdana" w:cs="宋体"/>
                <w:color w:val="000000"/>
                <w:sz w:val="24"/>
                <w:szCs w:val="24"/>
              </w:rPr>
              <w:t>分，不提供得</w:t>
            </w:r>
            <w:r>
              <w:rPr>
                <w:rFonts w:hAnsi="宋体" w:cs="宋体"/>
                <w:color w:val="000000"/>
                <w:sz w:val="24"/>
                <w:szCs w:val="24"/>
              </w:rPr>
              <w:t>0</w:t>
            </w:r>
            <w:r>
              <w:rPr>
                <w:rFonts w:ascii="Verdana" w:hAnsi="Verdana" w:cs="宋体"/>
                <w:color w:val="000000"/>
                <w:sz w:val="24"/>
                <w:szCs w:val="24"/>
              </w:rPr>
              <w:t>分。</w:t>
            </w:r>
          </w:p>
          <w:p>
            <w:pPr>
              <w:pStyle w:val="55"/>
              <w:numPr>
                <w:ilvl w:val="0"/>
                <w:numId w:val="6"/>
              </w:numPr>
              <w:adjustRightInd w:val="0"/>
              <w:snapToGrid w:val="0"/>
              <w:spacing w:line="360" w:lineRule="auto"/>
              <w:ind w:firstLineChars="0"/>
              <w:rPr>
                <w:rFonts w:ascii="Verdana" w:hAnsi="Verdana" w:cs="宋体"/>
                <w:color w:val="000000"/>
                <w:sz w:val="24"/>
                <w:szCs w:val="24"/>
              </w:rPr>
            </w:pPr>
            <w:r>
              <w:rPr>
                <w:rFonts w:hint="eastAsia" w:ascii="Verdana" w:hAnsi="Verdana" w:cs="宋体"/>
                <w:color w:val="000000"/>
                <w:sz w:val="24"/>
                <w:szCs w:val="24"/>
              </w:rPr>
              <w:t>查询网站（3分）：</w:t>
            </w:r>
          </w:p>
          <w:p>
            <w:pPr>
              <w:adjustRightInd w:val="0"/>
              <w:snapToGrid w:val="0"/>
              <w:spacing w:line="360" w:lineRule="auto"/>
              <w:rPr>
                <w:rFonts w:ascii="Verdana" w:hAnsi="Verdana" w:cs="宋体"/>
                <w:color w:val="000000"/>
                <w:sz w:val="24"/>
                <w:szCs w:val="24"/>
              </w:rPr>
            </w:pPr>
            <w:r>
              <w:rPr>
                <w:rFonts w:ascii="Verdana" w:hAnsi="Verdana" w:cs="宋体"/>
                <w:color w:val="000000"/>
                <w:sz w:val="24"/>
                <w:szCs w:val="24"/>
              </w:rPr>
              <w:t>具有可查询发货信息等功能的商务网站得</w:t>
            </w:r>
            <w:r>
              <w:rPr>
                <w:rFonts w:hint="eastAsia" w:ascii="Verdana" w:hAnsi="Verdana" w:cs="宋体"/>
                <w:color w:val="000000"/>
                <w:sz w:val="24"/>
                <w:szCs w:val="24"/>
              </w:rPr>
              <w:t>3</w:t>
            </w:r>
            <w:r>
              <w:rPr>
                <w:rFonts w:ascii="Verdana" w:hAnsi="Verdana" w:cs="宋体"/>
                <w:color w:val="000000"/>
                <w:sz w:val="24"/>
                <w:szCs w:val="24"/>
              </w:rPr>
              <w:t>分，提供网站</w:t>
            </w:r>
            <w:r>
              <w:rPr>
                <w:rFonts w:hint="eastAsia" w:ascii="Verdana" w:hAnsi="Verdana" w:cs="宋体"/>
                <w:color w:val="000000"/>
                <w:sz w:val="24"/>
                <w:szCs w:val="24"/>
              </w:rPr>
              <w:t>截图</w:t>
            </w:r>
            <w:r>
              <w:rPr>
                <w:rFonts w:ascii="Verdana" w:hAnsi="Verdana" w:cs="宋体"/>
                <w:color w:val="000000"/>
                <w:sz w:val="24"/>
                <w:szCs w:val="24"/>
              </w:rPr>
              <w:t>，没有不得分。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hAnsi="宋体"/>
                <w:sz w:val="24"/>
                <w:szCs w:val="24"/>
              </w:rPr>
              <w:t>到刊率（5分）：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提供五家上年度合作单位到刊率，到货全达到</w:t>
            </w:r>
            <w:r>
              <w:rPr>
                <w:rFonts w:hAnsi="宋体" w:cs="宋体"/>
                <w:color w:val="000000"/>
                <w:sz w:val="24"/>
                <w:szCs w:val="24"/>
              </w:rPr>
              <w:t>99%</w:t>
            </w:r>
            <w:r>
              <w:rPr>
                <w:rFonts w:ascii="Verdana" w:hAnsi="Verdana" w:cs="宋体"/>
                <w:color w:val="000000"/>
                <w:sz w:val="24"/>
                <w:szCs w:val="24"/>
              </w:rPr>
              <w:t>及以上得</w:t>
            </w:r>
            <w:r>
              <w:rPr>
                <w:rFonts w:hAnsi="宋体" w:cs="宋体"/>
                <w:color w:val="000000"/>
                <w:sz w:val="24"/>
                <w:szCs w:val="24"/>
              </w:rPr>
              <w:t>5</w:t>
            </w:r>
            <w:r>
              <w:rPr>
                <w:rFonts w:ascii="Verdana" w:hAnsi="Verdana" w:cs="宋体"/>
                <w:color w:val="000000"/>
                <w:sz w:val="24"/>
                <w:szCs w:val="24"/>
              </w:rPr>
              <w:t>分，其余不得分。</w:t>
            </w:r>
          </w:p>
          <w:p>
            <w:pPr>
              <w:pStyle w:val="55"/>
              <w:numPr>
                <w:ilvl w:val="0"/>
                <w:numId w:val="6"/>
              </w:numPr>
              <w:adjustRightInd w:val="0"/>
              <w:snapToGrid w:val="0"/>
              <w:spacing w:line="360" w:lineRule="auto"/>
              <w:ind w:firstLineChars="0"/>
              <w:rPr>
                <w:rFonts w:hAnsi="宋体" w:cs="宋体"/>
                <w:bCs/>
                <w:spacing w:val="8"/>
                <w:sz w:val="24"/>
                <w:szCs w:val="24"/>
              </w:rPr>
            </w:pPr>
            <w:r>
              <w:rPr>
                <w:rFonts w:ascii="Verdana" w:hAnsi="Verdana" w:cs="宋体"/>
                <w:color w:val="000000"/>
                <w:sz w:val="24"/>
                <w:szCs w:val="24"/>
              </w:rPr>
              <w:t>催缺工作</w:t>
            </w:r>
            <w:r>
              <w:rPr>
                <w:rFonts w:hint="eastAsia" w:ascii="Verdana" w:hAnsi="Verdana" w:cs="宋体"/>
                <w:color w:val="000000"/>
                <w:sz w:val="24"/>
                <w:szCs w:val="24"/>
              </w:rPr>
              <w:t>（</w:t>
            </w:r>
            <w:r>
              <w:rPr>
                <w:rFonts w:hint="eastAsia" w:ascii="宋体" w:hAnsi="宋体" w:cs="宋体"/>
                <w:color w:val="000000"/>
                <w:sz w:val="24"/>
                <w:szCs w:val="24"/>
              </w:rPr>
              <w:t>6</w:t>
            </w:r>
            <w:r>
              <w:rPr>
                <w:rFonts w:hint="eastAsia" w:ascii="Verdana" w:hAnsi="Verdana" w:cs="宋体"/>
                <w:color w:val="000000"/>
                <w:sz w:val="24"/>
                <w:szCs w:val="24"/>
              </w:rPr>
              <w:t>分）：</w:t>
            </w:r>
          </w:p>
          <w:p>
            <w:pPr>
              <w:adjustRightInd w:val="0"/>
              <w:snapToGrid w:val="0"/>
              <w:spacing w:line="360" w:lineRule="auto"/>
              <w:rPr>
                <w:rFonts w:hAnsi="宋体" w:cs="宋体"/>
                <w:bCs/>
                <w:spacing w:val="8"/>
                <w:sz w:val="24"/>
                <w:szCs w:val="24"/>
              </w:rPr>
            </w:pPr>
            <w:r>
              <w:rPr>
                <w:rFonts w:ascii="Verdana" w:hAnsi="Verdana" w:cs="宋体"/>
                <w:color w:val="000000"/>
                <w:sz w:val="24"/>
                <w:szCs w:val="24"/>
              </w:rPr>
              <w:t>有详细的查缺安排计划，按照查缺安排计划打分，每少一项扣</w:t>
            </w:r>
            <w:r>
              <w:rPr>
                <w:rFonts w:hAnsi="宋体" w:cs="宋体"/>
                <w:color w:val="000000"/>
                <w:sz w:val="24"/>
                <w:szCs w:val="24"/>
              </w:rPr>
              <w:t>2</w:t>
            </w:r>
            <w:r>
              <w:rPr>
                <w:rFonts w:ascii="Verdana" w:hAnsi="Verdana" w:cs="宋体"/>
                <w:color w:val="000000"/>
                <w:sz w:val="24"/>
                <w:szCs w:val="24"/>
              </w:rPr>
              <w:t>分，扣完为止。</w:t>
            </w:r>
          </w:p>
          <w:p>
            <w:pPr>
              <w:pStyle w:val="55"/>
              <w:numPr>
                <w:ilvl w:val="0"/>
                <w:numId w:val="6"/>
              </w:numPr>
              <w:adjustRightInd w:val="0"/>
              <w:snapToGrid w:val="0"/>
              <w:spacing w:line="360" w:lineRule="auto"/>
              <w:ind w:firstLineChars="0"/>
              <w:rPr>
                <w:rFonts w:ascii="宋体" w:hAnsi="宋体" w:cs="宋体"/>
                <w:bCs/>
                <w:spacing w:val="8"/>
                <w:sz w:val="24"/>
                <w:szCs w:val="24"/>
              </w:rPr>
            </w:pPr>
            <w:r>
              <w:rPr>
                <w:rFonts w:ascii="宋体" w:hAnsi="宋体" w:cs="宋体"/>
                <w:color w:val="000000"/>
                <w:sz w:val="24"/>
                <w:szCs w:val="24"/>
              </w:rPr>
              <w:t>投标文件规范性</w:t>
            </w:r>
            <w:r>
              <w:rPr>
                <w:rFonts w:hint="eastAsia" w:ascii="宋体" w:hAnsi="宋体" w:cs="宋体"/>
                <w:color w:val="000000"/>
                <w:sz w:val="24"/>
                <w:szCs w:val="24"/>
              </w:rPr>
              <w:t>（2分）：</w:t>
            </w:r>
          </w:p>
          <w:p>
            <w:pPr>
              <w:adjustRightInd w:val="0"/>
              <w:snapToGrid w:val="0"/>
              <w:spacing w:line="360" w:lineRule="auto"/>
              <w:rPr>
                <w:rFonts w:hAnsi="宋体" w:cs="宋体"/>
                <w:bCs/>
                <w:spacing w:val="8"/>
                <w:sz w:val="24"/>
                <w:szCs w:val="24"/>
              </w:rPr>
            </w:pPr>
            <w:r>
              <w:rPr>
                <w:rFonts w:hAnsi="宋体" w:cs="宋体"/>
                <w:color w:val="000000"/>
                <w:sz w:val="24"/>
                <w:szCs w:val="24"/>
              </w:rPr>
              <w:t>评标委员会对供应商所提供的投标文件的编制情况进行比较，最高可为2分，可并列，一般得1分，差的为0分。</w:t>
            </w:r>
          </w:p>
          <w:p>
            <w:pPr>
              <w:pStyle w:val="55"/>
              <w:numPr>
                <w:ilvl w:val="0"/>
                <w:numId w:val="6"/>
              </w:numPr>
              <w:adjustRightInd w:val="0"/>
              <w:snapToGrid w:val="0"/>
              <w:spacing w:line="360" w:lineRule="auto"/>
              <w:ind w:firstLineChars="0"/>
              <w:rPr>
                <w:rFonts w:hAnsi="宋体" w:cs="宋体"/>
                <w:bCs/>
                <w:spacing w:val="8"/>
                <w:sz w:val="24"/>
                <w:szCs w:val="24"/>
              </w:rPr>
            </w:pPr>
            <w:r>
              <w:rPr>
                <w:rFonts w:hint="eastAsia" w:ascii="宋体" w:hAnsi="宋体" w:cs="宋体"/>
                <w:bCs/>
                <w:spacing w:val="8"/>
                <w:sz w:val="24"/>
                <w:szCs w:val="24"/>
              </w:rPr>
              <w:t>期刊加工及装订（10分）</w:t>
            </w:r>
            <w:r>
              <w:rPr>
                <w:rFonts w:hint="eastAsia" w:hAnsi="宋体" w:cs="宋体"/>
                <w:bCs/>
                <w:spacing w:val="8"/>
                <w:sz w:val="24"/>
                <w:szCs w:val="24"/>
              </w:rPr>
              <w:t>：</w:t>
            </w:r>
          </w:p>
          <w:p>
            <w:pPr>
              <w:adjustRightInd w:val="0"/>
              <w:snapToGrid w:val="0"/>
              <w:spacing w:line="360" w:lineRule="auto"/>
              <w:rPr>
                <w:rFonts w:hAnsi="宋体" w:cs="宋体"/>
                <w:bCs/>
                <w:spacing w:val="8"/>
                <w:sz w:val="24"/>
                <w:szCs w:val="24"/>
              </w:rPr>
            </w:pPr>
            <w:r>
              <w:rPr>
                <w:rFonts w:hint="eastAsia" w:hAnsi="宋体" w:cs="宋体"/>
                <w:bCs/>
                <w:spacing w:val="8"/>
                <w:sz w:val="24"/>
                <w:szCs w:val="24"/>
              </w:rPr>
              <w:t>产品质量及验收完全符合招标项目技术相关要求得</w:t>
            </w:r>
            <w:r>
              <w:rPr>
                <w:rFonts w:hAnsi="宋体" w:cs="宋体"/>
                <w:bCs/>
                <w:spacing w:val="8"/>
                <w:sz w:val="24"/>
                <w:szCs w:val="24"/>
              </w:rPr>
              <w:t xml:space="preserve"> </w:t>
            </w:r>
            <w:r>
              <w:rPr>
                <w:rFonts w:hint="eastAsia" w:hAnsi="宋体" w:cs="宋体"/>
                <w:bCs/>
                <w:spacing w:val="8"/>
                <w:sz w:val="24"/>
                <w:szCs w:val="24"/>
              </w:rPr>
              <w:t>5-10</w:t>
            </w:r>
            <w:r>
              <w:rPr>
                <w:rFonts w:hAnsi="宋体" w:cs="宋体"/>
                <w:bCs/>
                <w:spacing w:val="8"/>
                <w:sz w:val="24"/>
                <w:szCs w:val="24"/>
              </w:rPr>
              <w:t xml:space="preserve"> 分；</w:t>
            </w:r>
            <w:r>
              <w:rPr>
                <w:rFonts w:hint="eastAsia" w:hAnsi="宋体" w:cs="宋体"/>
                <w:bCs/>
                <w:spacing w:val="8"/>
                <w:sz w:val="24"/>
                <w:szCs w:val="24"/>
              </w:rPr>
              <w:t>产品质量及验收基本符合招标项目技术相关要求</w:t>
            </w:r>
            <w:r>
              <w:rPr>
                <w:rFonts w:hAnsi="宋体" w:cs="宋体"/>
                <w:bCs/>
                <w:spacing w:val="8"/>
                <w:sz w:val="24"/>
                <w:szCs w:val="24"/>
              </w:rPr>
              <w:t>得</w:t>
            </w:r>
            <w:r>
              <w:rPr>
                <w:rFonts w:hint="eastAsia" w:hAnsi="宋体" w:cs="宋体"/>
                <w:bCs/>
                <w:spacing w:val="8"/>
                <w:sz w:val="24"/>
                <w:szCs w:val="24"/>
              </w:rPr>
              <w:t>0-5</w:t>
            </w:r>
            <w:r>
              <w:rPr>
                <w:rFonts w:hAnsi="宋体" w:cs="宋体"/>
                <w:bCs/>
                <w:spacing w:val="8"/>
                <w:sz w:val="24"/>
                <w:szCs w:val="24"/>
              </w:rPr>
              <w:t xml:space="preserve"> 分；</w:t>
            </w:r>
            <w:r>
              <w:rPr>
                <w:rFonts w:hint="eastAsia" w:hAnsi="宋体" w:cs="宋体"/>
                <w:bCs/>
                <w:spacing w:val="8"/>
                <w:sz w:val="24"/>
                <w:szCs w:val="24"/>
              </w:rPr>
              <w:t>产品质量及验收某方面不能符合招标项目技术相关要求</w:t>
            </w:r>
            <w:r>
              <w:rPr>
                <w:rFonts w:hAnsi="宋体" w:cs="宋体"/>
                <w:bCs/>
                <w:spacing w:val="8"/>
                <w:sz w:val="24"/>
                <w:szCs w:val="24"/>
              </w:rPr>
              <w:t xml:space="preserve">得 </w:t>
            </w:r>
            <w:r>
              <w:rPr>
                <w:rFonts w:hint="eastAsia" w:hAnsi="宋体" w:cs="宋体"/>
                <w:bCs/>
                <w:spacing w:val="8"/>
                <w:sz w:val="24"/>
                <w:szCs w:val="24"/>
              </w:rPr>
              <w:t>0</w:t>
            </w:r>
            <w:r>
              <w:rPr>
                <w:rFonts w:hAnsi="宋体" w:cs="宋体"/>
                <w:bCs/>
                <w:spacing w:val="8"/>
                <w:sz w:val="24"/>
                <w:szCs w:val="24"/>
              </w:rPr>
              <w:t xml:space="preserve"> 分。</w:t>
            </w:r>
            <w:r>
              <w:rPr>
                <w:rFonts w:hint="eastAsia" w:hAnsi="宋体" w:cs="宋体"/>
                <w:bCs/>
                <w:spacing w:val="8"/>
                <w:sz w:val="24"/>
                <w:szCs w:val="24"/>
              </w:rPr>
              <w:t>主要</w:t>
            </w:r>
            <w:r>
              <w:rPr>
                <w:rFonts w:hAnsi="宋体" w:cs="宋体"/>
                <w:bCs/>
                <w:spacing w:val="8"/>
                <w:sz w:val="24"/>
                <w:szCs w:val="24"/>
              </w:rPr>
              <w:t>技术性能</w:t>
            </w:r>
            <w:r>
              <w:rPr>
                <w:rFonts w:hint="eastAsia" w:hAnsi="宋体" w:cs="宋体"/>
                <w:bCs/>
                <w:spacing w:val="8"/>
                <w:sz w:val="24"/>
                <w:szCs w:val="24"/>
              </w:rPr>
              <w:t>见第四章“招标项目技术、商务及其他要求”</w:t>
            </w:r>
            <w:r>
              <w:rPr>
                <w:rFonts w:hAnsi="宋体" w:cs="宋体"/>
                <w:bCs/>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0386"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、商务部分（满分 </w:t>
            </w:r>
            <w:r>
              <w:rPr>
                <w:rFonts w:hint="eastAsia" w:hAnsi="宋体" w:cs="宋体"/>
                <w:bCs/>
                <w:spacing w:val="8"/>
                <w:sz w:val="24"/>
                <w:szCs w:val="24"/>
              </w:rPr>
              <w:t>30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CellSpacing w:w="0" w:type="dxa"/>
        </w:trPr>
        <w:tc>
          <w:tcPr>
            <w:tcW w:w="10386" w:type="dxa"/>
            <w:gridSpan w:val="12"/>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490" w:type="dxa"/>
            <w:gridSpan w:val="2"/>
            <w:vAlign w:val="center"/>
          </w:tcPr>
          <w:p>
            <w:pPr>
              <w:adjustRightInd w:val="0"/>
              <w:snapToGrid w:val="0"/>
              <w:spacing w:line="360" w:lineRule="auto"/>
              <w:ind w:firstLine="481" w:firstLineChars="188"/>
              <w:rPr>
                <w:rFonts w:hAnsi="宋体" w:cs="宋体"/>
                <w:bCs/>
                <w:spacing w:val="8"/>
                <w:sz w:val="24"/>
                <w:szCs w:val="24"/>
              </w:rPr>
            </w:pPr>
            <w:r>
              <w:rPr>
                <w:rFonts w:hAnsi="宋体" w:cs="宋体"/>
                <w:bCs/>
                <w:spacing w:val="8"/>
                <w:sz w:val="24"/>
                <w:szCs w:val="24"/>
              </w:rPr>
              <w:t>业绩</w:t>
            </w:r>
          </w:p>
        </w:tc>
        <w:tc>
          <w:tcPr>
            <w:tcW w:w="1048" w:type="dxa"/>
            <w:gridSpan w:val="4"/>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7</w:t>
            </w:r>
          </w:p>
        </w:tc>
        <w:tc>
          <w:tcPr>
            <w:tcW w:w="7146" w:type="dxa"/>
            <w:gridSpan w:val="3"/>
            <w:vAlign w:val="center"/>
          </w:tcPr>
          <w:p>
            <w:pPr>
              <w:adjustRightInd w:val="0"/>
              <w:snapToGrid w:val="0"/>
              <w:spacing w:line="360" w:lineRule="auto"/>
              <w:jc w:val="left"/>
              <w:rPr>
                <w:rFonts w:hAnsi="宋体" w:cs="宋体"/>
                <w:bCs/>
                <w:spacing w:val="8"/>
                <w:sz w:val="24"/>
                <w:szCs w:val="24"/>
              </w:rPr>
            </w:pPr>
            <w:r>
              <w:rPr>
                <w:rFonts w:hint="eastAsia" w:hAnsi="宋体" w:cs="宋体"/>
                <w:color w:val="000000"/>
                <w:sz w:val="24"/>
                <w:szCs w:val="24"/>
              </w:rPr>
              <w:t>提供2019年</w:t>
            </w:r>
            <w:r>
              <w:rPr>
                <w:rFonts w:hAnsi="宋体" w:cs="宋体"/>
                <w:color w:val="000000"/>
                <w:sz w:val="24"/>
                <w:szCs w:val="24"/>
              </w:rPr>
              <w:t>以来（含201</w:t>
            </w:r>
            <w:r>
              <w:rPr>
                <w:rFonts w:hint="eastAsia" w:hAnsi="宋体" w:cs="宋体"/>
                <w:color w:val="000000"/>
                <w:sz w:val="24"/>
                <w:szCs w:val="24"/>
              </w:rPr>
              <w:t>9</w:t>
            </w:r>
            <w:r>
              <w:rPr>
                <w:rFonts w:hAnsi="宋体" w:cs="宋体"/>
                <w:color w:val="000000"/>
                <w:sz w:val="24"/>
                <w:szCs w:val="24"/>
              </w:rPr>
              <w:t>年）与类</w:t>
            </w:r>
            <w:r>
              <w:rPr>
                <w:rFonts w:hint="eastAsia" w:hAnsi="宋体" w:cs="宋体"/>
                <w:color w:val="000000"/>
                <w:sz w:val="24"/>
                <w:szCs w:val="24"/>
              </w:rPr>
              <w:t>似</w:t>
            </w:r>
            <w:r>
              <w:rPr>
                <w:rFonts w:hAnsi="宋体" w:cs="宋体"/>
                <w:color w:val="000000"/>
                <w:sz w:val="24"/>
                <w:szCs w:val="24"/>
              </w:rPr>
              <w:t>项目合作单位数量，1</w:t>
            </w:r>
            <w:r>
              <w:rPr>
                <w:rFonts w:hint="eastAsia" w:hAnsi="宋体" w:cs="宋体"/>
                <w:color w:val="000000"/>
                <w:sz w:val="24"/>
                <w:szCs w:val="24"/>
              </w:rPr>
              <w:t>0</w:t>
            </w:r>
            <w:r>
              <w:rPr>
                <w:rFonts w:hAnsi="宋体" w:cs="宋体"/>
                <w:color w:val="000000"/>
                <w:sz w:val="24"/>
                <w:szCs w:val="24"/>
              </w:rPr>
              <w:t>家及以上得</w:t>
            </w:r>
            <w:r>
              <w:rPr>
                <w:rFonts w:hint="eastAsia" w:hAnsi="宋体" w:cs="宋体"/>
                <w:color w:val="000000"/>
                <w:sz w:val="24"/>
                <w:szCs w:val="24"/>
              </w:rPr>
              <w:t>7</w:t>
            </w:r>
            <w:r>
              <w:rPr>
                <w:rFonts w:hAnsi="宋体" w:cs="宋体"/>
                <w:color w:val="000000"/>
                <w:sz w:val="24"/>
                <w:szCs w:val="24"/>
              </w:rPr>
              <w:t>分，，5-9家得</w:t>
            </w:r>
            <w:r>
              <w:rPr>
                <w:rFonts w:hint="eastAsia" w:hAnsi="宋体" w:cs="宋体"/>
                <w:color w:val="000000"/>
                <w:sz w:val="24"/>
                <w:szCs w:val="24"/>
              </w:rPr>
              <w:t>5</w:t>
            </w:r>
            <w:r>
              <w:rPr>
                <w:rFonts w:hAnsi="宋体" w:cs="宋体"/>
                <w:color w:val="000000"/>
                <w:sz w:val="24"/>
                <w:szCs w:val="24"/>
              </w:rPr>
              <w:t>分，1-4家得</w:t>
            </w:r>
            <w:r>
              <w:rPr>
                <w:rFonts w:hint="eastAsia" w:hAnsi="宋体" w:cs="宋体"/>
                <w:color w:val="000000"/>
                <w:sz w:val="24"/>
                <w:szCs w:val="24"/>
              </w:rPr>
              <w:t>2</w:t>
            </w:r>
            <w:r>
              <w:rPr>
                <w:rFonts w:hAnsi="宋体" w:cs="宋体"/>
                <w:color w:val="000000"/>
                <w:sz w:val="24"/>
                <w:szCs w:val="24"/>
              </w:rPr>
              <w:t>分，没有得0分。（相同业主不同年度分别计</w:t>
            </w:r>
            <w:r>
              <w:rPr>
                <w:rFonts w:ascii="Verdana" w:hAnsi="Verdana" w:cs="宋体"/>
                <w:color w:val="000000"/>
                <w:sz w:val="24"/>
                <w:szCs w:val="24"/>
              </w:rPr>
              <w:t>算；须提供合作协议书复印件及合作方联系方式，未提供的不得分）。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490" w:type="dxa"/>
            <w:gridSpan w:val="2"/>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sz w:val="24"/>
                <w:szCs w:val="24"/>
              </w:rPr>
              <w:t>服务能力</w:t>
            </w:r>
          </w:p>
        </w:tc>
        <w:tc>
          <w:tcPr>
            <w:tcW w:w="1048" w:type="dxa"/>
            <w:gridSpan w:val="4"/>
            <w:tcBorders>
              <w:bottom w:val="single" w:color="auto" w:sz="4" w:space="0"/>
            </w:tcBorders>
            <w:vAlign w:val="center"/>
          </w:tcPr>
          <w:p>
            <w:pPr>
              <w:adjustRightInd w:val="0"/>
              <w:snapToGrid w:val="0"/>
              <w:spacing w:line="360" w:lineRule="auto"/>
              <w:jc w:val="center"/>
              <w:rPr>
                <w:rFonts w:hint="eastAsia" w:hAnsi="宋体" w:eastAsia="宋体" w:cs="宋体"/>
                <w:bCs/>
                <w:spacing w:val="8"/>
                <w:sz w:val="24"/>
                <w:szCs w:val="24"/>
                <w:lang w:val="en-US" w:eastAsia="zh-CN"/>
              </w:rPr>
            </w:pPr>
            <w:r>
              <w:rPr>
                <w:rFonts w:hint="eastAsia" w:hAnsi="宋体" w:cs="宋体"/>
                <w:bCs/>
                <w:spacing w:val="8"/>
                <w:sz w:val="24"/>
                <w:szCs w:val="24"/>
                <w:lang w:val="en-US" w:eastAsia="zh-CN"/>
              </w:rPr>
              <w:t>5</w:t>
            </w:r>
          </w:p>
        </w:tc>
        <w:tc>
          <w:tcPr>
            <w:tcW w:w="7146" w:type="dxa"/>
            <w:gridSpan w:val="3"/>
            <w:tcBorders>
              <w:bottom w:val="single" w:color="auto" w:sz="4" w:space="0"/>
            </w:tcBorders>
            <w:vAlign w:val="center"/>
          </w:tcPr>
          <w:p>
            <w:pPr>
              <w:autoSpaceDE w:val="0"/>
              <w:autoSpaceDN w:val="0"/>
              <w:rPr>
                <w:rFonts w:cs="宋体"/>
                <w:sz w:val="24"/>
                <w:szCs w:val="24"/>
              </w:rPr>
            </w:pPr>
            <w:r>
              <w:rPr>
                <w:rFonts w:hint="eastAsia" w:hAnsi="宋体"/>
                <w:sz w:val="24"/>
                <w:szCs w:val="24"/>
              </w:rPr>
              <w:t>提供至少6名国家图书馆颁发的全国图书馆联合编目中心资格证书的得</w:t>
            </w:r>
            <w:r>
              <w:rPr>
                <w:rFonts w:hint="eastAsia" w:hAnsi="宋体"/>
                <w:sz w:val="24"/>
                <w:szCs w:val="24"/>
                <w:lang w:val="en-US" w:eastAsia="zh-CN"/>
              </w:rPr>
              <w:t>2</w:t>
            </w:r>
            <w:r>
              <w:rPr>
                <w:rFonts w:hint="eastAsia" w:hAnsi="宋体"/>
                <w:sz w:val="24"/>
                <w:szCs w:val="24"/>
              </w:rPr>
              <w:t>分，未提供不得分。此基础上，提供与国家图书馆签订的全国图书馆联合编目中心用户上传及下载协议书的得</w:t>
            </w:r>
            <w:r>
              <w:rPr>
                <w:rFonts w:hint="eastAsia" w:hAnsi="宋体"/>
                <w:sz w:val="24"/>
                <w:szCs w:val="24"/>
                <w:lang w:val="en-US" w:eastAsia="zh-CN"/>
              </w:rPr>
              <w:t>3</w:t>
            </w:r>
            <w:r>
              <w:rPr>
                <w:rFonts w:hint="eastAsia"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490" w:type="dxa"/>
            <w:gridSpan w:val="2"/>
            <w:tcBorders>
              <w:bottom w:val="single" w:color="auto" w:sz="4" w:space="0"/>
            </w:tcBorders>
            <w:vAlign w:val="center"/>
          </w:tcPr>
          <w:p>
            <w:pPr>
              <w:adjustRightInd w:val="0"/>
              <w:snapToGrid w:val="0"/>
              <w:spacing w:line="360" w:lineRule="auto"/>
              <w:jc w:val="center"/>
              <w:rPr>
                <w:rFonts w:hAnsi="宋体"/>
                <w:sz w:val="24"/>
                <w:szCs w:val="24"/>
              </w:rPr>
            </w:pPr>
            <w:r>
              <w:rPr>
                <w:rFonts w:hint="eastAsia" w:hAnsi="宋体"/>
                <w:sz w:val="24"/>
                <w:szCs w:val="24"/>
              </w:rPr>
              <w:t>服务便利性</w:t>
            </w:r>
          </w:p>
        </w:tc>
        <w:tc>
          <w:tcPr>
            <w:tcW w:w="1048" w:type="dxa"/>
            <w:gridSpan w:val="4"/>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7146" w:type="dxa"/>
            <w:gridSpan w:val="3"/>
            <w:tcBorders>
              <w:bottom w:val="single" w:color="auto" w:sz="4" w:space="0"/>
            </w:tcBorders>
            <w:vAlign w:val="center"/>
          </w:tcPr>
          <w:p>
            <w:pPr>
              <w:autoSpaceDE w:val="0"/>
              <w:autoSpaceDN w:val="0"/>
              <w:rPr>
                <w:rFonts w:cs="宋体"/>
                <w:sz w:val="24"/>
                <w:szCs w:val="24"/>
              </w:rPr>
            </w:pPr>
            <w:r>
              <w:rPr>
                <w:rFonts w:hint="eastAsia" w:hAnsi="宋体"/>
                <w:sz w:val="24"/>
              </w:rPr>
              <w:t>投标人在项目所在地具有售后服务机构，经营面积达到300平方米及以上的得5分，无不得分。（提供售后服务机构房权证或场地租凭复印件证明）。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w:t>
            </w:r>
          </w:p>
        </w:tc>
        <w:tc>
          <w:tcPr>
            <w:tcW w:w="1490" w:type="dxa"/>
            <w:gridSpan w:val="2"/>
            <w:tcBorders>
              <w:bottom w:val="single" w:color="auto" w:sz="4" w:space="0"/>
            </w:tcBorders>
            <w:vAlign w:val="center"/>
          </w:tcPr>
          <w:p>
            <w:pPr>
              <w:adjustRightInd w:val="0"/>
              <w:snapToGrid w:val="0"/>
              <w:spacing w:line="360" w:lineRule="auto"/>
              <w:jc w:val="center"/>
              <w:rPr>
                <w:rFonts w:hAnsi="宋体"/>
                <w:sz w:val="24"/>
                <w:szCs w:val="24"/>
              </w:rPr>
            </w:pPr>
            <w:r>
              <w:rPr>
                <w:rFonts w:hint="eastAsia" w:hAnsi="宋体"/>
                <w:sz w:val="24"/>
                <w:szCs w:val="24"/>
              </w:rPr>
              <w:t>荣誉</w:t>
            </w:r>
          </w:p>
        </w:tc>
        <w:tc>
          <w:tcPr>
            <w:tcW w:w="1048" w:type="dxa"/>
            <w:gridSpan w:val="4"/>
            <w:tcBorders>
              <w:bottom w:val="single" w:color="auto" w:sz="4" w:space="0"/>
            </w:tcBorders>
            <w:vAlign w:val="center"/>
          </w:tcPr>
          <w:p>
            <w:pPr>
              <w:adjustRightInd w:val="0"/>
              <w:snapToGrid w:val="0"/>
              <w:spacing w:line="360" w:lineRule="auto"/>
              <w:jc w:val="center"/>
              <w:rPr>
                <w:rFonts w:hint="eastAsia" w:hAnsi="宋体" w:eastAsia="宋体" w:cs="宋体"/>
                <w:bCs/>
                <w:spacing w:val="8"/>
                <w:sz w:val="24"/>
                <w:szCs w:val="24"/>
                <w:lang w:val="en-US" w:eastAsia="zh-CN"/>
              </w:rPr>
            </w:pPr>
            <w:r>
              <w:rPr>
                <w:rFonts w:hint="eastAsia" w:hAnsi="宋体" w:cs="宋体"/>
                <w:bCs/>
                <w:spacing w:val="8"/>
                <w:sz w:val="24"/>
                <w:szCs w:val="24"/>
              </w:rPr>
              <w:t>1</w:t>
            </w:r>
            <w:r>
              <w:rPr>
                <w:rFonts w:hint="eastAsia" w:hAnsi="宋体" w:cs="宋体"/>
                <w:bCs/>
                <w:spacing w:val="8"/>
                <w:sz w:val="24"/>
                <w:szCs w:val="24"/>
                <w:lang w:val="en-US" w:eastAsia="zh-CN"/>
              </w:rPr>
              <w:t>6</w:t>
            </w:r>
          </w:p>
        </w:tc>
        <w:tc>
          <w:tcPr>
            <w:tcW w:w="7146" w:type="dxa"/>
            <w:gridSpan w:val="3"/>
            <w:tcBorders>
              <w:bottom w:val="single" w:color="auto" w:sz="4" w:space="0"/>
            </w:tcBorders>
            <w:vAlign w:val="center"/>
          </w:tcPr>
          <w:p>
            <w:pPr>
              <w:numPr>
                <w:ilvl w:val="0"/>
                <w:numId w:val="7"/>
              </w:numPr>
              <w:rPr>
                <w:rFonts w:hAnsi="宋体"/>
                <w:sz w:val="24"/>
                <w:szCs w:val="24"/>
              </w:rPr>
            </w:pPr>
            <w:r>
              <w:rPr>
                <w:rFonts w:hint="eastAsia" w:hAnsi="宋体"/>
                <w:sz w:val="24"/>
                <w:szCs w:val="24"/>
              </w:rPr>
              <w:t>投标人获得</w:t>
            </w:r>
            <w:r>
              <w:rPr>
                <w:rFonts w:hAnsi="宋体"/>
                <w:sz w:val="24"/>
                <w:szCs w:val="24"/>
              </w:rPr>
              <w:t>质量管理体系认证书</w:t>
            </w:r>
            <w:r>
              <w:rPr>
                <w:rFonts w:hint="eastAsia" w:hAnsi="宋体"/>
                <w:sz w:val="24"/>
                <w:szCs w:val="24"/>
              </w:rPr>
              <w:t>得3分，获得信息安全管理体系认证证书的得3分；</w:t>
            </w:r>
          </w:p>
          <w:p>
            <w:pPr>
              <w:numPr>
                <w:ilvl w:val="0"/>
                <w:numId w:val="7"/>
              </w:numPr>
              <w:rPr>
                <w:rFonts w:hAnsi="宋体"/>
                <w:sz w:val="24"/>
                <w:szCs w:val="24"/>
              </w:rPr>
            </w:pPr>
            <w:r>
              <w:rPr>
                <w:rFonts w:hint="eastAsia" w:hAnsi="宋体"/>
                <w:sz w:val="24"/>
                <w:szCs w:val="24"/>
              </w:rPr>
              <w:t>获得全国企业质量监督管理中心颁发的《政府采购优秀供应商》荣誉证书的得3分；</w:t>
            </w:r>
          </w:p>
          <w:p>
            <w:pPr>
              <w:autoSpaceDE w:val="0"/>
              <w:autoSpaceDN w:val="0"/>
              <w:rPr>
                <w:rFonts w:hAnsi="宋体"/>
                <w:sz w:val="24"/>
              </w:rPr>
            </w:pPr>
            <w:r>
              <w:rPr>
                <w:rFonts w:hint="eastAsia" w:hAnsi="宋体"/>
                <w:sz w:val="24"/>
              </w:rPr>
              <w:t>3、投标人提供连续3年被图书馆报评为全国优秀馆配商或综合实力奖的得3分，不提供不得分。</w:t>
            </w:r>
          </w:p>
          <w:p>
            <w:pPr>
              <w:autoSpaceDE w:val="0"/>
              <w:autoSpaceDN w:val="0"/>
              <w:rPr>
                <w:rFonts w:hAnsi="宋体"/>
                <w:sz w:val="24"/>
              </w:rPr>
            </w:pPr>
            <w:r>
              <w:rPr>
                <w:rFonts w:hint="eastAsia" w:hAnsi="宋体"/>
                <w:sz w:val="24"/>
              </w:rPr>
              <w:t>4、投标人获得期刊出版授权书证明200家及以上得4分，150-200家得2分，100-150家得1分，100家以下不得分。</w:t>
            </w: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int="eastAsia" w:hAnsi="宋体" w:cs="宋体"/>
          <w:b/>
          <w:kern w:val="44"/>
          <w:sz w:val="30"/>
          <w:szCs w:val="30"/>
        </w:rPr>
      </w:pPr>
    </w:p>
    <w:p>
      <w:pPr>
        <w:adjustRightInd w:val="0"/>
        <w:snapToGrid w:val="0"/>
        <w:spacing w:line="360" w:lineRule="auto"/>
        <w:ind w:firstLine="566" w:firstLineChars="188"/>
        <w:jc w:val="center"/>
        <w:rPr>
          <w:rFonts w:hAnsi="宋体" w:cs="宋体"/>
          <w:sz w:val="30"/>
          <w:szCs w:val="30"/>
        </w:rPr>
      </w:pPr>
      <w:r>
        <w:rPr>
          <w:rFonts w:hint="eastAsia" w:hAnsi="宋体" w:cs="宋体"/>
          <w:b/>
          <w:kern w:val="44"/>
          <w:sz w:val="30"/>
          <w:szCs w:val="30"/>
        </w:rPr>
        <w:t>第六章</w:t>
      </w:r>
      <w:r>
        <w:rPr>
          <w:rFonts w:hint="eastAsia" w:hAnsi="宋体" w:cs="宋体"/>
          <w:sz w:val="30"/>
          <w:szCs w:val="30"/>
        </w:rPr>
        <w:t xml:space="preserve">  </w:t>
      </w:r>
      <w:r>
        <w:rPr>
          <w:rFonts w:hint="eastAsia" w:hAnsi="宋体" w:cs="宋体"/>
          <w:b/>
          <w:kern w:val="44"/>
          <w:sz w:val="30"/>
          <w:szCs w:val="30"/>
        </w:rPr>
        <w:t>合同主要条款</w:t>
      </w:r>
    </w:p>
    <w:p>
      <w:pPr>
        <w:jc w:val="center"/>
        <w:rPr>
          <w:sz w:val="28"/>
          <w:szCs w:val="28"/>
        </w:rPr>
      </w:pPr>
      <w:r>
        <w:rPr>
          <w:rFonts w:hint="eastAsia"/>
          <w:sz w:val="28"/>
          <w:szCs w:val="28"/>
        </w:rPr>
        <w:t>（</w:t>
      </w:r>
      <w:r>
        <w:rPr>
          <w:rFonts w:hint="eastAsia" w:hAnsi="宋体" w:cs="宋体"/>
          <w:kern w:val="44"/>
          <w:sz w:val="28"/>
          <w:szCs w:val="28"/>
        </w:rPr>
        <w:t>供参考）</w:t>
      </w:r>
    </w:p>
    <w:p>
      <w:pPr>
        <w:snapToGrid w:val="0"/>
        <w:spacing w:line="360" w:lineRule="auto"/>
        <w:ind w:left="324" w:hanging="324" w:hangingChars="135"/>
        <w:rPr>
          <w:rFonts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Ansi="宋体" w:cs="宋体"/>
          <w:sz w:val="24"/>
          <w:szCs w:val="24"/>
        </w:rPr>
      </w:pPr>
      <w:r>
        <w:rPr>
          <w:rFonts w:hint="eastAsia" w:hAnsi="宋体" w:cs="宋体"/>
          <w:sz w:val="24"/>
          <w:szCs w:val="24"/>
        </w:rPr>
        <w:t>采购人（甲方）：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ind w:left="324" w:hanging="324" w:hangingChars="135"/>
        <w:rPr>
          <w:rFonts w:hAnsi="宋体" w:cs="宋体"/>
          <w:sz w:val="24"/>
          <w:szCs w:val="24"/>
        </w:rPr>
      </w:pPr>
      <w:r>
        <w:rPr>
          <w:rFonts w:hint="eastAsia" w:hAnsi="宋体" w:cs="宋体"/>
          <w:sz w:val="24"/>
          <w:szCs w:val="24"/>
        </w:rPr>
        <w:t>供应商（乙方）：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rPr>
          <w:rFonts w:hAnsi="宋体" w:cs="宋体"/>
          <w:sz w:val="24"/>
          <w:szCs w:val="24"/>
        </w:rPr>
      </w:pPr>
    </w:p>
    <w:p>
      <w:pPr>
        <w:pStyle w:val="70"/>
        <w:snapToGrid w:val="0"/>
        <w:spacing w:line="360" w:lineRule="auto"/>
        <w:ind w:firstLine="480"/>
        <w:rPr>
          <w:rFonts w:hAnsi="宋体"/>
          <w:szCs w:val="24"/>
        </w:rPr>
      </w:pPr>
      <w:r>
        <w:rPr>
          <w:rFonts w:hint="eastAsia" w:hAnsi="宋体"/>
          <w:szCs w:val="24"/>
        </w:rPr>
        <w:t>根据《中华人民共和国合同法》及XX采购人</w:t>
      </w:r>
      <w:r>
        <w:rPr>
          <w:rFonts w:hint="eastAsia" w:hAnsi="宋体"/>
          <w:szCs w:val="24"/>
          <w:u w:val="single"/>
        </w:rPr>
        <w:t xml:space="preserve">             </w:t>
      </w:r>
      <w:r>
        <w:rPr>
          <w:rFonts w:hint="eastAsia" w:hAnsi="宋体"/>
          <w:szCs w:val="24"/>
        </w:rPr>
        <w:t>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5"/>
        <w:snapToGrid w:val="0"/>
        <w:spacing w:before="0" w:after="0" w:line="360" w:lineRule="auto"/>
        <w:ind w:firstLine="482" w:firstLineChars="200"/>
        <w:rPr>
          <w:rFonts w:ascii="宋体" w:hAnsi="宋体" w:eastAsia="宋体" w:cs="宋体"/>
          <w:sz w:val="24"/>
          <w:szCs w:val="24"/>
        </w:rPr>
      </w:pPr>
      <w:bookmarkStart w:id="98" w:name="_Toc217446107"/>
      <w:r>
        <w:rPr>
          <w:rFonts w:hint="eastAsia" w:ascii="宋体" w:hAnsi="宋体" w:eastAsia="宋体" w:cs="宋体"/>
          <w:sz w:val="24"/>
          <w:szCs w:val="24"/>
        </w:rPr>
        <w:t>一、合同货物</w:t>
      </w:r>
      <w:bookmarkEnd w:id="98"/>
    </w:p>
    <w:tbl>
      <w:tblPr>
        <w:tblStyle w:val="21"/>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规格</w:t>
            </w:r>
          </w:p>
          <w:p>
            <w:pPr>
              <w:snapToGrid w:val="0"/>
              <w:spacing w:line="360" w:lineRule="auto"/>
              <w:jc w:val="center"/>
              <w:rPr>
                <w:rFonts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单价</w:t>
            </w:r>
          </w:p>
          <w:p>
            <w:pPr>
              <w:snapToGrid w:val="0"/>
              <w:spacing w:line="360" w:lineRule="auto"/>
              <w:jc w:val="center"/>
              <w:rPr>
                <w:rFonts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Ansi="宋体" w:cs="宋体"/>
                <w:sz w:val="24"/>
                <w:szCs w:val="24"/>
              </w:rPr>
            </w:pPr>
            <w:r>
              <w:rPr>
                <w:rFonts w:hint="eastAsia" w:hAnsi="宋体" w:cs="宋体"/>
                <w:sz w:val="24"/>
                <w:szCs w:val="24"/>
              </w:rPr>
              <w:t>总价</w:t>
            </w:r>
          </w:p>
          <w:p>
            <w:pPr>
              <w:snapToGrid w:val="0"/>
              <w:spacing w:line="360" w:lineRule="auto"/>
              <w:rPr>
                <w:rFonts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随机</w:t>
            </w:r>
          </w:p>
          <w:p>
            <w:pPr>
              <w:snapToGrid w:val="0"/>
              <w:spacing w:line="360" w:lineRule="auto"/>
              <w:jc w:val="center"/>
              <w:rPr>
                <w:rFonts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bl>
    <w:p>
      <w:pPr>
        <w:pStyle w:val="5"/>
        <w:tabs>
          <w:tab w:val="left" w:pos="142"/>
        </w:tabs>
        <w:snapToGrid w:val="0"/>
        <w:spacing w:before="0" w:after="0" w:line="360" w:lineRule="auto"/>
        <w:ind w:firstLine="161" w:firstLineChars="67"/>
        <w:rPr>
          <w:rFonts w:ascii="宋体" w:hAnsi="宋体" w:eastAsia="宋体" w:cs="宋体"/>
          <w:sz w:val="24"/>
          <w:szCs w:val="24"/>
        </w:rPr>
      </w:pPr>
      <w:bookmarkStart w:id="99" w:name="_Toc217446108"/>
      <w:r>
        <w:rPr>
          <w:rFonts w:hint="eastAsia" w:ascii="宋体" w:hAnsi="宋体" w:eastAsia="宋体" w:cs="宋体"/>
          <w:sz w:val="24"/>
          <w:szCs w:val="24"/>
        </w:rPr>
        <w:t>二、合同总价</w:t>
      </w:r>
      <w:bookmarkEnd w:id="99"/>
    </w:p>
    <w:p>
      <w:pPr>
        <w:pStyle w:val="7"/>
        <w:snapToGrid w:val="0"/>
        <w:spacing w:line="360" w:lineRule="auto"/>
        <w:ind w:firstLine="484" w:firstLineChars="202"/>
        <w:rPr>
          <w:rFonts w:hAnsi="宋体" w:cs="宋体"/>
          <w:sz w:val="24"/>
        </w:rPr>
      </w:pPr>
      <w:r>
        <w:rPr>
          <w:rFonts w:hint="eastAsia" w:hAnsi="宋体" w:cs="宋体"/>
          <w:sz w:val="24"/>
        </w:rPr>
        <w:t>合同总价为人民币大写：</w:t>
      </w:r>
      <w:r>
        <w:rPr>
          <w:rFonts w:hint="eastAsia" w:hAnsi="宋体" w:cs="宋体"/>
          <w:sz w:val="24"/>
          <w:u w:val="single"/>
        </w:rPr>
        <w:t xml:space="preserve">                </w:t>
      </w:r>
      <w:r>
        <w:rPr>
          <w:rFonts w:hint="eastAsia" w:hAnsi="宋体" w:cs="宋体"/>
          <w:sz w:val="24"/>
        </w:rPr>
        <w:t>元，即RMB￥</w:t>
      </w:r>
      <w:r>
        <w:rPr>
          <w:rFonts w:hint="eastAsia" w:hAnsi="宋体" w:cs="宋体"/>
          <w:sz w:val="24"/>
          <w:u w:val="single"/>
        </w:rPr>
        <w:t xml:space="preserve">        </w:t>
      </w:r>
      <w:r>
        <w:rPr>
          <w:rFonts w:hint="eastAsia" w:hAnsi="宋体" w:cs="宋体"/>
          <w:sz w:val="24"/>
        </w:rPr>
        <w:t>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5"/>
        <w:tabs>
          <w:tab w:val="left" w:pos="142"/>
        </w:tabs>
        <w:snapToGrid w:val="0"/>
        <w:spacing w:before="0" w:after="0" w:line="360" w:lineRule="auto"/>
        <w:ind w:firstLine="161" w:firstLineChars="67"/>
        <w:rPr>
          <w:rFonts w:ascii="宋体" w:hAnsi="宋体" w:eastAsia="宋体" w:cs="宋体"/>
          <w:sz w:val="24"/>
          <w:szCs w:val="24"/>
        </w:rPr>
      </w:pPr>
      <w:bookmarkStart w:id="100" w:name="_Toc217446109"/>
      <w:r>
        <w:rPr>
          <w:rFonts w:hint="eastAsia" w:ascii="宋体" w:hAnsi="宋体" w:eastAsia="宋体" w:cs="宋体"/>
          <w:sz w:val="24"/>
          <w:szCs w:val="24"/>
        </w:rPr>
        <w:t>三、质量要求</w:t>
      </w:r>
      <w:bookmarkEnd w:id="100"/>
    </w:p>
    <w:p>
      <w:pPr>
        <w:pStyle w:val="70"/>
        <w:snapToGrid w:val="0"/>
        <w:spacing w:line="360" w:lineRule="auto"/>
        <w:ind w:firstLine="480"/>
        <w:rPr>
          <w:rFonts w:hAnsi="宋体"/>
          <w:szCs w:val="24"/>
        </w:rPr>
      </w:pPr>
      <w:r>
        <w:rPr>
          <w:rFonts w:hint="eastAsia" w:hAnsi="宋体"/>
          <w:szCs w:val="24"/>
        </w:rPr>
        <w:t>1、乙方须提供全新的产品，不得侵害他人的知识产权。</w:t>
      </w:r>
    </w:p>
    <w:p>
      <w:pPr>
        <w:pStyle w:val="70"/>
        <w:snapToGrid w:val="0"/>
        <w:spacing w:line="360" w:lineRule="auto"/>
        <w:ind w:firstLine="480"/>
        <w:rPr>
          <w:rFonts w:hAnsi="宋体"/>
          <w:szCs w:val="24"/>
        </w:rPr>
      </w:pPr>
      <w:r>
        <w:rPr>
          <w:rFonts w:hint="eastAsia" w:hAnsi="宋体"/>
          <w:szCs w:val="24"/>
        </w:rPr>
        <w:t>2、货物必须符合或优于国家（行业）</w:t>
      </w:r>
      <w:r>
        <w:rPr>
          <w:rFonts w:hint="eastAsia" w:hAnsi="宋体"/>
          <w:szCs w:val="24"/>
          <w:u w:val="single"/>
        </w:rPr>
        <w:t xml:space="preserve">          </w:t>
      </w:r>
      <w:r>
        <w:rPr>
          <w:rFonts w:hint="eastAsia" w:hAnsi="宋体"/>
          <w:szCs w:val="24"/>
        </w:rPr>
        <w:t>标准，以及本项目招标文件的质量要求和技术指标与出厂标准。</w:t>
      </w:r>
    </w:p>
    <w:p>
      <w:pPr>
        <w:pStyle w:val="70"/>
        <w:snapToGrid w:val="0"/>
        <w:spacing w:line="360" w:lineRule="auto"/>
        <w:ind w:firstLine="480"/>
        <w:rPr>
          <w:rFonts w:hAnsi="宋体"/>
          <w:szCs w:val="24"/>
        </w:rPr>
      </w:pPr>
      <w:r>
        <w:rPr>
          <w:rFonts w:hint="eastAsia" w:hAnsi="宋体"/>
          <w:szCs w:val="24"/>
        </w:rPr>
        <w:t>3、乙方须在本合同签订之日起</w:t>
      </w:r>
      <w:r>
        <w:rPr>
          <w:rFonts w:hint="eastAsia" w:hAnsi="宋体"/>
          <w:szCs w:val="24"/>
          <w:u w:val="single"/>
        </w:rPr>
        <w:t xml:space="preserve">    </w:t>
      </w:r>
      <w:r>
        <w:rPr>
          <w:rFonts w:hint="eastAsia" w:hAnsi="宋体"/>
          <w:szCs w:val="24"/>
        </w:rPr>
        <w:t>日内送交产品成品给甲方确认。</w:t>
      </w:r>
    </w:p>
    <w:p>
      <w:pPr>
        <w:pStyle w:val="70"/>
        <w:snapToGrid w:val="0"/>
        <w:spacing w:line="360" w:lineRule="auto"/>
        <w:ind w:firstLine="480"/>
        <w:rPr>
          <w:rFonts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70"/>
        <w:snapToGrid w:val="0"/>
        <w:spacing w:line="360" w:lineRule="auto"/>
        <w:ind w:firstLine="480"/>
        <w:rPr>
          <w:rFonts w:hAnsi="宋体"/>
          <w:szCs w:val="24"/>
        </w:rPr>
      </w:pPr>
      <w:r>
        <w:rPr>
          <w:rFonts w:hint="eastAsia" w:hAnsi="宋体"/>
          <w:szCs w:val="24"/>
        </w:rPr>
        <w:t>5、产品验收后由于甲方使用不当造成的问题，乙方亦应负责修理，但费用由甲方负担。</w:t>
      </w:r>
    </w:p>
    <w:p>
      <w:pPr>
        <w:pStyle w:val="70"/>
        <w:snapToGrid w:val="0"/>
        <w:spacing w:line="360" w:lineRule="auto"/>
        <w:ind w:firstLine="0" w:firstLineChars="0"/>
        <w:rPr>
          <w:rFonts w:hAnsi="宋体"/>
          <w:szCs w:val="24"/>
        </w:rPr>
      </w:pPr>
      <w:r>
        <w:rPr>
          <w:rFonts w:hint="eastAsia" w:hAnsi="宋体"/>
          <w:b/>
          <w:bCs/>
          <w:szCs w:val="24"/>
        </w:rPr>
        <w:t>四、</w:t>
      </w:r>
      <w:bookmarkStart w:id="101" w:name="_Toc217446110"/>
      <w:r>
        <w:rPr>
          <w:rFonts w:hint="eastAsia" w:hAnsi="宋体"/>
          <w:b/>
          <w:bCs/>
          <w:szCs w:val="24"/>
        </w:rPr>
        <w:t>交货及验收</w:t>
      </w:r>
      <w:bookmarkEnd w:id="101"/>
    </w:p>
    <w:p>
      <w:pPr>
        <w:pStyle w:val="70"/>
        <w:snapToGrid w:val="0"/>
        <w:spacing w:line="360" w:lineRule="auto"/>
        <w:ind w:firstLine="480"/>
        <w:rPr>
          <w:rFonts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70"/>
        <w:snapToGrid w:val="0"/>
        <w:spacing w:line="360" w:lineRule="auto"/>
        <w:ind w:firstLine="480"/>
        <w:rPr>
          <w:rFonts w:hAnsi="宋体"/>
          <w:szCs w:val="24"/>
        </w:rPr>
      </w:pPr>
      <w:r>
        <w:rPr>
          <w:rFonts w:hint="eastAsia" w:hAnsi="宋体"/>
          <w:szCs w:val="24"/>
        </w:rPr>
        <w:t>2、验收由甲方组织，乙方配合进行：</w:t>
      </w:r>
    </w:p>
    <w:p>
      <w:pPr>
        <w:pStyle w:val="70"/>
        <w:snapToGrid w:val="0"/>
        <w:spacing w:line="360" w:lineRule="auto"/>
        <w:ind w:firstLine="480"/>
        <w:rPr>
          <w:rFonts w:hAnsi="宋体"/>
          <w:szCs w:val="24"/>
        </w:rPr>
      </w:pPr>
      <w:r>
        <w:rPr>
          <w:rFonts w:hint="eastAsia" w:hAnsi="宋体"/>
          <w:szCs w:val="24"/>
        </w:rPr>
        <w:t>(1) 产品在乙方通知安装调试完毕后</w:t>
      </w:r>
      <w:r>
        <w:rPr>
          <w:rFonts w:hint="eastAsia" w:hAnsi="宋体"/>
          <w:szCs w:val="24"/>
          <w:u w:val="single"/>
        </w:rPr>
        <w:t xml:space="preserve">    </w:t>
      </w:r>
      <w:r>
        <w:rPr>
          <w:rFonts w:hint="eastAsia" w:hAnsi="宋体"/>
          <w:szCs w:val="24"/>
        </w:rPr>
        <w:t>日内初步验收。初步验收合格后，进入</w:t>
      </w:r>
      <w:r>
        <w:rPr>
          <w:rFonts w:hint="eastAsia" w:hAnsi="宋体"/>
          <w:szCs w:val="24"/>
          <w:u w:val="single"/>
        </w:rPr>
        <w:t xml:space="preserve">    </w:t>
      </w:r>
      <w:r>
        <w:rPr>
          <w:rFonts w:hint="eastAsia" w:hAnsi="宋体"/>
          <w:szCs w:val="24"/>
        </w:rPr>
        <w:t>试用期；试用期间发生重大质量问题，修复后试用相应顺延；试用期结束后</w:t>
      </w:r>
      <w:r>
        <w:rPr>
          <w:rFonts w:hint="eastAsia" w:hAnsi="宋体"/>
          <w:szCs w:val="24"/>
          <w:u w:val="single"/>
        </w:rPr>
        <w:t xml:space="preserve">    </w:t>
      </w:r>
      <w:r>
        <w:rPr>
          <w:rFonts w:hint="eastAsia" w:hAnsi="宋体"/>
          <w:szCs w:val="24"/>
        </w:rPr>
        <w:t>日内完成最终验收；</w:t>
      </w:r>
    </w:p>
    <w:p>
      <w:pPr>
        <w:pStyle w:val="70"/>
        <w:snapToGrid w:val="0"/>
        <w:spacing w:line="360" w:lineRule="auto"/>
        <w:ind w:firstLine="480"/>
        <w:rPr>
          <w:rFonts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70"/>
        <w:snapToGrid w:val="0"/>
        <w:spacing w:line="360" w:lineRule="auto"/>
        <w:ind w:firstLine="480"/>
        <w:rPr>
          <w:rFonts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70"/>
        <w:snapToGrid w:val="0"/>
        <w:spacing w:line="360" w:lineRule="auto"/>
        <w:ind w:firstLine="439" w:firstLineChars="183"/>
        <w:rPr>
          <w:rFonts w:hAnsi="宋体"/>
          <w:szCs w:val="24"/>
        </w:rPr>
      </w:pPr>
      <w:r>
        <w:rPr>
          <w:rFonts w:hint="eastAsia" w:hAnsi="宋体"/>
          <w:szCs w:val="24"/>
        </w:rPr>
        <w:t>（4）如质量验收合格，双方签署质量验收报告。</w:t>
      </w:r>
    </w:p>
    <w:p>
      <w:pPr>
        <w:pStyle w:val="70"/>
        <w:snapToGrid w:val="0"/>
        <w:spacing w:line="360" w:lineRule="auto"/>
        <w:ind w:firstLine="480"/>
        <w:rPr>
          <w:rFonts w:hAnsi="宋体"/>
          <w:szCs w:val="24"/>
        </w:rPr>
      </w:pPr>
      <w:r>
        <w:rPr>
          <w:rFonts w:hint="eastAsia" w:hAnsi="宋体"/>
          <w:szCs w:val="24"/>
        </w:rPr>
        <w:t>3、产品安装完成后</w:t>
      </w:r>
      <w:r>
        <w:rPr>
          <w:rFonts w:hint="eastAsia" w:hAnsi="宋体"/>
          <w:szCs w:val="24"/>
          <w:u w:val="single"/>
        </w:rPr>
        <w:t xml:space="preserve">     </w:t>
      </w:r>
      <w:r>
        <w:rPr>
          <w:rFonts w:hint="eastAsia" w:hAnsi="宋体"/>
          <w:szCs w:val="24"/>
        </w:rPr>
        <w:t>日内，甲方无故不进行验收工作并已使用货物的，视同已安装调试完成并验收合格。</w:t>
      </w:r>
    </w:p>
    <w:p>
      <w:pPr>
        <w:pStyle w:val="70"/>
        <w:snapToGrid w:val="0"/>
        <w:spacing w:line="360" w:lineRule="auto"/>
        <w:ind w:firstLine="480"/>
        <w:rPr>
          <w:rFonts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70"/>
        <w:snapToGrid w:val="0"/>
        <w:spacing w:line="360" w:lineRule="auto"/>
        <w:ind w:firstLine="480"/>
        <w:rPr>
          <w:rFonts w:hAnsi="宋体"/>
          <w:szCs w:val="24"/>
        </w:rPr>
      </w:pPr>
      <w:r>
        <w:rPr>
          <w:rFonts w:hint="eastAsia" w:hAnsi="宋体"/>
          <w:szCs w:val="24"/>
        </w:rPr>
        <w:t>5、如货物经乙方</w:t>
      </w:r>
      <w:r>
        <w:rPr>
          <w:rFonts w:hint="eastAsia" w:hAnsi="宋体"/>
          <w:szCs w:val="24"/>
          <w:u w:val="single"/>
        </w:rPr>
        <w:t xml:space="preserve">   </w:t>
      </w:r>
      <w:r>
        <w:rPr>
          <w:rFonts w:hint="eastAsia" w:hAnsi="宋体"/>
          <w:szCs w:val="24"/>
        </w:rPr>
        <w:t>次维修仍不能达到合同约定的质量标准，甲方有权退货，并视作乙方不能交付货物而须支付违约赔偿金给甲方，甲方还可依法追究乙方的违约责任。 </w:t>
      </w:r>
    </w:p>
    <w:p>
      <w:pPr>
        <w:pStyle w:val="5"/>
        <w:snapToGrid w:val="0"/>
        <w:spacing w:before="0" w:after="0" w:line="360" w:lineRule="auto"/>
        <w:ind w:firstLine="161" w:firstLineChars="67"/>
        <w:rPr>
          <w:rFonts w:ascii="宋体" w:hAnsi="宋体" w:eastAsia="宋体" w:cs="宋体"/>
          <w:sz w:val="24"/>
          <w:szCs w:val="24"/>
        </w:rPr>
      </w:pPr>
      <w:bookmarkStart w:id="102" w:name="_Toc217446111"/>
      <w:r>
        <w:rPr>
          <w:rFonts w:hint="eastAsia" w:ascii="宋体" w:hAnsi="宋体" w:eastAsia="宋体" w:cs="宋体"/>
          <w:sz w:val="24"/>
          <w:szCs w:val="24"/>
        </w:rPr>
        <w:t>五、付款方式</w:t>
      </w:r>
      <w:bookmarkEnd w:id="102"/>
    </w:p>
    <w:p>
      <w:pPr>
        <w:pStyle w:val="70"/>
        <w:snapToGrid w:val="0"/>
        <w:spacing w:line="360" w:lineRule="auto"/>
        <w:ind w:firstLine="480"/>
        <w:jc w:val="left"/>
        <w:rPr>
          <w:rFonts w:hAnsi="宋体"/>
          <w:szCs w:val="24"/>
        </w:rPr>
      </w:pPr>
      <w:r>
        <w:rPr>
          <w:rFonts w:hint="eastAsia" w:hAnsi="宋体"/>
          <w:szCs w:val="24"/>
        </w:rPr>
        <w:t>1、甲方在本合同签订生效之日起，接到乙方通知和票据凭证资料后的</w:t>
      </w:r>
      <w:r>
        <w:rPr>
          <w:rFonts w:hint="eastAsia" w:hAnsi="宋体"/>
          <w:szCs w:val="24"/>
          <w:u w:val="single"/>
        </w:rPr>
        <w:t xml:space="preserve">    </w:t>
      </w:r>
      <w:r>
        <w:rPr>
          <w:rFonts w:hint="eastAsia" w:hAnsi="宋体"/>
          <w:szCs w:val="24"/>
        </w:rPr>
        <w:t>日内支付合同金额百分之</w:t>
      </w:r>
      <w:r>
        <w:rPr>
          <w:rFonts w:hint="eastAsia" w:hAnsi="宋体"/>
          <w:szCs w:val="24"/>
          <w:u w:val="single"/>
        </w:rPr>
        <w:t xml:space="preserve">     </w:t>
      </w:r>
      <w:r>
        <w:rPr>
          <w:rFonts w:hint="eastAsia" w:hAnsi="宋体"/>
          <w:szCs w:val="24"/>
        </w:rPr>
        <w:t>的价款；</w:t>
      </w:r>
    </w:p>
    <w:p>
      <w:pPr>
        <w:pStyle w:val="70"/>
        <w:snapToGrid w:val="0"/>
        <w:spacing w:line="360" w:lineRule="auto"/>
        <w:ind w:firstLine="480"/>
        <w:rPr>
          <w:rFonts w:hAnsi="宋体"/>
          <w:szCs w:val="24"/>
        </w:rPr>
      </w:pPr>
      <w:r>
        <w:rPr>
          <w:rFonts w:hint="eastAsia" w:hAnsi="宋体"/>
          <w:szCs w:val="24"/>
        </w:rPr>
        <w:t>2、全部货物安装调试完毕并验收合格之日起，甲方接到乙方通知与票据凭证资料后的  日内，向乙方核拨合同总价的百分之</w:t>
      </w:r>
      <w:r>
        <w:rPr>
          <w:rFonts w:hint="eastAsia" w:hAnsi="宋体"/>
          <w:szCs w:val="24"/>
          <w:u w:val="single"/>
        </w:rPr>
        <w:t xml:space="preserve">   </w:t>
      </w:r>
      <w:r>
        <w:rPr>
          <w:rFonts w:hint="eastAsia" w:hAnsi="宋体"/>
          <w:szCs w:val="24"/>
        </w:rPr>
        <w:t>款项：￥</w:t>
      </w:r>
      <w:r>
        <w:rPr>
          <w:rFonts w:hint="eastAsia" w:hAnsi="宋体"/>
          <w:szCs w:val="24"/>
          <w:u w:val="single"/>
        </w:rPr>
        <w:t xml:space="preserve">     </w:t>
      </w:r>
      <w:r>
        <w:rPr>
          <w:rFonts w:hint="eastAsia" w:hAnsi="宋体"/>
          <w:szCs w:val="24"/>
        </w:rPr>
        <w:t>元，人民币大写</w:t>
      </w:r>
      <w:r>
        <w:rPr>
          <w:rFonts w:hint="eastAsia" w:hAnsi="宋体"/>
          <w:szCs w:val="24"/>
          <w:u w:val="single"/>
        </w:rPr>
        <w:t xml:space="preserve">    </w:t>
      </w:r>
      <w:r>
        <w:rPr>
          <w:rFonts w:hint="eastAsia" w:hAnsi="宋体"/>
          <w:szCs w:val="24"/>
        </w:rPr>
        <w:t>元整；</w:t>
      </w:r>
    </w:p>
    <w:p>
      <w:pPr>
        <w:pStyle w:val="70"/>
        <w:snapToGrid w:val="0"/>
        <w:spacing w:line="360" w:lineRule="auto"/>
        <w:ind w:firstLine="480"/>
        <w:jc w:val="left"/>
        <w:rPr>
          <w:rFonts w:hAnsi="宋体"/>
          <w:szCs w:val="24"/>
        </w:rPr>
      </w:pPr>
      <w:r>
        <w:rPr>
          <w:rFonts w:hint="eastAsia" w:hAnsi="宋体"/>
          <w:szCs w:val="24"/>
        </w:rPr>
        <w:t>3、乙方须向甲方出具合法有效完整的完税发票及凭证资料进行支付结算。</w:t>
      </w:r>
    </w:p>
    <w:p>
      <w:pPr>
        <w:pStyle w:val="5"/>
        <w:snapToGrid w:val="0"/>
        <w:spacing w:before="0" w:after="0" w:line="360" w:lineRule="auto"/>
        <w:ind w:firstLine="161" w:firstLineChars="67"/>
        <w:rPr>
          <w:rFonts w:ascii="宋体" w:hAnsi="宋体" w:eastAsia="宋体" w:cs="宋体"/>
          <w:sz w:val="24"/>
          <w:szCs w:val="24"/>
        </w:rPr>
      </w:pPr>
      <w:bookmarkStart w:id="103" w:name="_Toc217446112"/>
      <w:r>
        <w:rPr>
          <w:rFonts w:hint="eastAsia" w:ascii="宋体" w:hAnsi="宋体" w:eastAsia="宋体" w:cs="宋体"/>
          <w:sz w:val="24"/>
          <w:szCs w:val="24"/>
        </w:rPr>
        <w:t>六、售后服务</w:t>
      </w:r>
      <w:bookmarkEnd w:id="103"/>
    </w:p>
    <w:p>
      <w:pPr>
        <w:pStyle w:val="70"/>
        <w:snapToGrid w:val="0"/>
        <w:spacing w:line="360" w:lineRule="auto"/>
        <w:ind w:firstLine="480"/>
        <w:rPr>
          <w:rFonts w:hAnsi="宋体"/>
          <w:szCs w:val="24"/>
        </w:rPr>
      </w:pPr>
      <w:r>
        <w:rPr>
          <w:rFonts w:hint="eastAsia" w:hAnsi="宋体"/>
          <w:szCs w:val="24"/>
        </w:rPr>
        <w:t>1、质保期为验收合格后XX年，质保期内出现质量问题，乙方在接到通知后</w:t>
      </w:r>
      <w:r>
        <w:rPr>
          <w:rFonts w:hint="eastAsia" w:hAnsi="宋体"/>
          <w:szCs w:val="24"/>
          <w:u w:val="single"/>
        </w:rPr>
        <w:t xml:space="preserve">   </w:t>
      </w:r>
      <w:r>
        <w:rPr>
          <w:rFonts w:hint="eastAsia" w:hAnsi="宋体"/>
          <w:szCs w:val="24"/>
        </w:rPr>
        <w:t>小时内响应到场，</w:t>
      </w:r>
      <w:r>
        <w:rPr>
          <w:rFonts w:hint="eastAsia" w:hAnsi="宋体"/>
          <w:szCs w:val="24"/>
          <w:u w:val="single"/>
        </w:rPr>
        <w:t xml:space="preserve">    </w:t>
      </w:r>
      <w:r>
        <w:rPr>
          <w:rFonts w:hint="eastAsia" w:hAnsi="宋体"/>
          <w:szCs w:val="24"/>
        </w:rPr>
        <w:t>小时内完成维修或更换，并承担修理调换的费用；如货物经乙方</w:t>
      </w:r>
      <w:r>
        <w:rPr>
          <w:rFonts w:hint="eastAsia" w:hAnsi="宋体"/>
          <w:szCs w:val="24"/>
          <w:u w:val="single"/>
        </w:rPr>
        <w:t xml:space="preserve">   </w:t>
      </w:r>
      <w:r>
        <w:rPr>
          <w:rFonts w:hint="eastAsia" w:hAnsi="宋体"/>
          <w:szCs w:val="24"/>
        </w:rPr>
        <w:t>次维修仍不能达到本合同约定的质量标准，视作乙方未能按时交货，甲方有权退货并追究乙方的违约责任。货到现场后由于甲方保管不当造成的问题，乙方亦应负责修复，但费用由甲方负担。</w:t>
      </w:r>
    </w:p>
    <w:p>
      <w:pPr>
        <w:pStyle w:val="70"/>
        <w:snapToGrid w:val="0"/>
        <w:spacing w:line="360" w:lineRule="auto"/>
        <w:ind w:firstLine="480"/>
        <w:rPr>
          <w:rFonts w:hAnsi="宋体"/>
          <w:szCs w:val="24"/>
        </w:rPr>
      </w:pPr>
      <w:r>
        <w:rPr>
          <w:rFonts w:hint="eastAsia" w:hAnsi="宋体"/>
          <w:szCs w:val="24"/>
        </w:rPr>
        <w:t>2、乙方须指派专人负责与甲方联系人员培训、维护维修等售后服务事宜。</w:t>
      </w:r>
    </w:p>
    <w:p>
      <w:pPr>
        <w:pStyle w:val="5"/>
        <w:snapToGrid w:val="0"/>
        <w:spacing w:before="0" w:after="0" w:line="360" w:lineRule="auto"/>
        <w:ind w:firstLine="161" w:firstLineChars="67"/>
        <w:rPr>
          <w:rFonts w:ascii="宋体" w:hAnsi="宋体" w:eastAsia="宋体" w:cs="宋体"/>
          <w:sz w:val="24"/>
          <w:szCs w:val="24"/>
        </w:rPr>
      </w:pPr>
      <w:bookmarkStart w:id="104" w:name="_Toc217446113"/>
      <w:r>
        <w:rPr>
          <w:rFonts w:hint="eastAsia" w:ascii="宋体" w:hAnsi="宋体" w:eastAsia="宋体" w:cs="宋体"/>
          <w:sz w:val="24"/>
          <w:szCs w:val="24"/>
        </w:rPr>
        <w:t>七、违约责任</w:t>
      </w:r>
      <w:bookmarkEnd w:id="104"/>
    </w:p>
    <w:p>
      <w:pPr>
        <w:pStyle w:val="70"/>
        <w:snapToGrid w:val="0"/>
        <w:spacing w:line="360" w:lineRule="auto"/>
        <w:ind w:firstLine="480"/>
        <w:rPr>
          <w:rFonts w:hAnsi="宋体"/>
          <w:szCs w:val="24"/>
        </w:rPr>
      </w:pPr>
      <w:r>
        <w:rPr>
          <w:rFonts w:hint="eastAsia" w:hAnsi="宋体"/>
          <w:szCs w:val="24"/>
        </w:rPr>
        <w:t>1、甲方违约责任</w:t>
      </w:r>
    </w:p>
    <w:p>
      <w:pPr>
        <w:pStyle w:val="70"/>
        <w:snapToGrid w:val="0"/>
        <w:spacing w:line="360" w:lineRule="auto"/>
        <w:ind w:firstLine="480"/>
        <w:rPr>
          <w:rFonts w:hAnsi="宋体"/>
          <w:szCs w:val="24"/>
        </w:rPr>
      </w:pPr>
      <w:r>
        <w:rPr>
          <w:rFonts w:hint="eastAsia" w:hAnsi="宋体"/>
          <w:szCs w:val="24"/>
        </w:rPr>
        <w:t>（1） 甲方无正当理由拒收货物的，甲方应偿付合同总价＿%的违约金；</w:t>
      </w:r>
    </w:p>
    <w:p>
      <w:pPr>
        <w:pStyle w:val="70"/>
        <w:snapToGrid w:val="0"/>
        <w:spacing w:line="360" w:lineRule="auto"/>
        <w:ind w:firstLine="480"/>
        <w:rPr>
          <w:rFonts w:hAnsi="宋体"/>
          <w:szCs w:val="24"/>
        </w:rPr>
      </w:pPr>
      <w:r>
        <w:rPr>
          <w:rFonts w:hint="eastAsia" w:hAnsi="宋体"/>
          <w:szCs w:val="24"/>
        </w:rPr>
        <w:t>（2） 甲方逾期支付货款的，除应及时付足货款外，应向乙方偿付合同总价＿%/天的违约金；逾期付款超过  天的，乙方有权终止合同；</w:t>
      </w:r>
    </w:p>
    <w:p>
      <w:pPr>
        <w:pStyle w:val="70"/>
        <w:snapToGrid w:val="0"/>
        <w:spacing w:line="360" w:lineRule="auto"/>
        <w:ind w:firstLine="480"/>
        <w:rPr>
          <w:rFonts w:hAnsi="宋体"/>
          <w:szCs w:val="24"/>
        </w:rPr>
      </w:pPr>
      <w:r>
        <w:rPr>
          <w:rFonts w:hint="eastAsia" w:hAnsi="宋体"/>
          <w:szCs w:val="24"/>
        </w:rPr>
        <w:t>（3） 甲方偿付的违约金不足以弥补乙方损失的，还应按乙方损失尚未弥补的部分，据实赔偿给乙方。</w:t>
      </w:r>
    </w:p>
    <w:p>
      <w:pPr>
        <w:pStyle w:val="70"/>
        <w:snapToGrid w:val="0"/>
        <w:spacing w:line="360" w:lineRule="auto"/>
        <w:ind w:firstLine="480"/>
        <w:rPr>
          <w:rFonts w:hAnsi="宋体"/>
          <w:szCs w:val="24"/>
        </w:rPr>
      </w:pPr>
      <w:r>
        <w:rPr>
          <w:rFonts w:hint="eastAsia" w:hAnsi="宋体"/>
          <w:szCs w:val="24"/>
        </w:rPr>
        <w:t>2、乙方违约责任</w:t>
      </w:r>
    </w:p>
    <w:p>
      <w:pPr>
        <w:pStyle w:val="70"/>
        <w:snapToGrid w:val="0"/>
        <w:spacing w:line="360" w:lineRule="auto"/>
        <w:ind w:firstLine="480"/>
        <w:rPr>
          <w:rFonts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70"/>
        <w:snapToGrid w:val="0"/>
        <w:spacing w:line="360" w:lineRule="auto"/>
        <w:ind w:firstLine="480"/>
        <w:rPr>
          <w:rFonts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70"/>
        <w:snapToGrid w:val="0"/>
        <w:spacing w:line="360" w:lineRule="auto"/>
        <w:ind w:firstLine="480"/>
        <w:rPr>
          <w:rFonts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70"/>
        <w:snapToGrid w:val="0"/>
        <w:spacing w:line="360" w:lineRule="auto"/>
        <w:ind w:firstLine="480"/>
        <w:rPr>
          <w:rFonts w:hAnsi="宋体"/>
          <w:szCs w:val="24"/>
        </w:rPr>
      </w:pPr>
      <w:r>
        <w:rPr>
          <w:rFonts w:hint="eastAsia" w:hAnsi="宋体"/>
          <w:szCs w:val="24"/>
        </w:rPr>
        <w:t>（4）乙方偿付的违约金不足以弥补甲方损失的，还应按甲方损失尚未弥补的部分，据实赔偿给甲方。</w:t>
      </w:r>
    </w:p>
    <w:p>
      <w:pPr>
        <w:pStyle w:val="5"/>
        <w:snapToGrid w:val="0"/>
        <w:spacing w:before="0" w:after="0" w:line="360" w:lineRule="auto"/>
        <w:ind w:firstLine="161" w:firstLineChars="67"/>
        <w:rPr>
          <w:rFonts w:ascii="宋体" w:hAnsi="宋体" w:eastAsia="宋体" w:cs="宋体"/>
          <w:sz w:val="24"/>
          <w:szCs w:val="24"/>
        </w:rPr>
      </w:pPr>
      <w:bookmarkStart w:id="105" w:name="_Toc217446114"/>
      <w:r>
        <w:rPr>
          <w:rFonts w:hint="eastAsia" w:ascii="宋体" w:hAnsi="宋体" w:eastAsia="宋体" w:cs="宋体"/>
          <w:sz w:val="24"/>
          <w:szCs w:val="24"/>
        </w:rPr>
        <w:t>八、争议解决办法</w:t>
      </w:r>
      <w:bookmarkEnd w:id="105"/>
    </w:p>
    <w:p>
      <w:pPr>
        <w:pStyle w:val="70"/>
        <w:snapToGrid w:val="0"/>
        <w:spacing w:line="360" w:lineRule="auto"/>
        <w:ind w:firstLine="480"/>
        <w:rPr>
          <w:rFonts w:hAnsi="宋体"/>
          <w:szCs w:val="24"/>
        </w:rPr>
      </w:pPr>
      <w:r>
        <w:rPr>
          <w:rFonts w:hint="eastAsia" w:hAnsi="宋体"/>
          <w:szCs w:val="24"/>
        </w:rPr>
        <w:t>合同履行期间,若双方发生争议，可协商或由有关部门调解解决，协商或调解不成的，任何一方均可向合同签订地法院起诉。</w:t>
      </w:r>
    </w:p>
    <w:p>
      <w:pPr>
        <w:pStyle w:val="5"/>
        <w:snapToGrid w:val="0"/>
        <w:spacing w:before="0" w:after="0" w:line="360" w:lineRule="auto"/>
        <w:ind w:firstLine="161" w:firstLineChars="67"/>
        <w:rPr>
          <w:rFonts w:ascii="宋体" w:hAnsi="宋体" w:eastAsia="宋体" w:cs="宋体"/>
          <w:sz w:val="24"/>
          <w:szCs w:val="24"/>
        </w:rPr>
      </w:pPr>
      <w:bookmarkStart w:id="106" w:name="_Toc217446115"/>
      <w:r>
        <w:rPr>
          <w:rFonts w:hint="eastAsia" w:ascii="宋体" w:hAnsi="宋体" w:eastAsia="宋体" w:cs="宋体"/>
          <w:sz w:val="24"/>
          <w:szCs w:val="24"/>
        </w:rPr>
        <w:t>九、其他</w:t>
      </w:r>
      <w:bookmarkEnd w:id="106"/>
    </w:p>
    <w:p>
      <w:pPr>
        <w:pStyle w:val="70"/>
        <w:snapToGrid w:val="0"/>
        <w:spacing w:line="360" w:lineRule="auto"/>
        <w:ind w:firstLine="480"/>
        <w:rPr>
          <w:rFonts w:hAnsi="宋体"/>
          <w:szCs w:val="24"/>
        </w:rPr>
      </w:pPr>
      <w:r>
        <w:rPr>
          <w:rFonts w:hint="eastAsia" w:hAnsi="宋体"/>
          <w:szCs w:val="24"/>
        </w:rPr>
        <w:t>1、如有未尽事宜，由双方依法订立补充合同。</w:t>
      </w:r>
    </w:p>
    <w:p>
      <w:pPr>
        <w:pStyle w:val="70"/>
        <w:snapToGrid w:val="0"/>
        <w:spacing w:line="360" w:lineRule="auto"/>
        <w:ind w:firstLine="480"/>
        <w:rPr>
          <w:rFonts w:hAnsi="宋体"/>
          <w:szCs w:val="24"/>
        </w:rPr>
      </w:pPr>
      <w:r>
        <w:rPr>
          <w:rFonts w:hint="eastAsia" w:hAnsi="宋体"/>
          <w:szCs w:val="24"/>
        </w:rPr>
        <w:t>2、本合同一式捌份，自双方签章之日起生效。甲方五份、乙方三份。</w:t>
      </w:r>
    </w:p>
    <w:p>
      <w:pPr>
        <w:pStyle w:val="70"/>
        <w:snapToGrid w:val="0"/>
        <w:spacing w:line="360" w:lineRule="auto"/>
        <w:ind w:firstLine="480"/>
        <w:rPr>
          <w:rFonts w:hAnsi="宋体"/>
          <w:szCs w:val="24"/>
        </w:rPr>
      </w:pPr>
    </w:p>
    <w:p>
      <w:pPr>
        <w:snapToGrid w:val="0"/>
        <w:spacing w:line="360" w:lineRule="auto"/>
        <w:ind w:firstLine="480" w:firstLineChars="200"/>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Ansi="宋体" w:cs="宋体"/>
          <w:sz w:val="24"/>
          <w:szCs w:val="24"/>
        </w:rPr>
      </w:pPr>
      <w:r>
        <w:rPr>
          <w:rFonts w:hint="eastAsia" w:hAnsi="宋体" w:cs="宋体"/>
          <w:sz w:val="24"/>
          <w:szCs w:val="24"/>
        </w:rPr>
        <w:t>地    址：                         地    址：</w:t>
      </w:r>
    </w:p>
    <w:p>
      <w:pPr>
        <w:snapToGrid w:val="0"/>
        <w:spacing w:line="360" w:lineRule="auto"/>
        <w:ind w:firstLine="480" w:firstLineChars="200"/>
        <w:rPr>
          <w:rFonts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Ansi="宋体" w:cs="宋体"/>
          <w:sz w:val="24"/>
          <w:szCs w:val="24"/>
        </w:rPr>
      </w:pPr>
      <w:r>
        <w:rPr>
          <w:rFonts w:hint="eastAsia" w:hAnsi="宋体" w:cs="宋体"/>
          <w:sz w:val="24"/>
          <w:szCs w:val="24"/>
        </w:rPr>
        <w:t>账号：                             账号：</w:t>
      </w:r>
    </w:p>
    <w:p>
      <w:pPr>
        <w:snapToGrid w:val="0"/>
        <w:spacing w:line="360" w:lineRule="auto"/>
        <w:ind w:firstLine="480" w:firstLineChars="200"/>
        <w:rPr>
          <w:rFonts w:hAnsi="宋体" w:cs="宋体"/>
          <w:sz w:val="24"/>
          <w:szCs w:val="24"/>
        </w:rPr>
      </w:pPr>
      <w:r>
        <w:rPr>
          <w:rFonts w:hint="eastAsia" w:hAnsi="宋体" w:cs="宋体"/>
          <w:sz w:val="24"/>
          <w:szCs w:val="24"/>
        </w:rPr>
        <w:t>电    话：                         电    话：</w:t>
      </w:r>
    </w:p>
    <w:p>
      <w:pPr>
        <w:snapToGrid w:val="0"/>
        <w:spacing w:line="360" w:lineRule="auto"/>
        <w:ind w:firstLine="480" w:firstLineChars="200"/>
        <w:rPr>
          <w:rFonts w:hAnsi="宋体" w:cs="宋体"/>
          <w:sz w:val="24"/>
          <w:szCs w:val="24"/>
        </w:rPr>
      </w:pPr>
      <w:r>
        <w:rPr>
          <w:rFonts w:hint="eastAsia" w:hAnsi="宋体" w:cs="宋体"/>
          <w:sz w:val="24"/>
          <w:szCs w:val="24"/>
        </w:rPr>
        <w:t>传    真：                         传    真：</w:t>
      </w:r>
    </w:p>
    <w:p>
      <w:pPr>
        <w:snapToGrid w:val="0"/>
        <w:spacing w:line="360" w:lineRule="auto"/>
        <w:ind w:firstLine="480" w:firstLineChars="200"/>
        <w:rPr>
          <w:rFonts w:hAnsi="宋体" w:cs="宋体"/>
          <w:sz w:val="24"/>
          <w:szCs w:val="24"/>
        </w:rPr>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签约日期：XX年XX月XX日</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val="en-US" w:eastAsia="zh-CN"/>
      </w:rPr>
      <w:t>2022年度四川铁道职业学院期刊</w:t>
    </w:r>
    <w:r>
      <w:rPr>
        <w:rFonts w:hint="eastAsia" w:hAnsi="宋体"/>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EEE98736"/>
    <w:multiLevelType w:val="singleLevel"/>
    <w:tmpl w:val="EEE98736"/>
    <w:lvl w:ilvl="0" w:tentative="0">
      <w:start w:val="1"/>
      <w:numFmt w:val="decimal"/>
      <w:suff w:val="nothing"/>
      <w:lvlText w:val="%1、"/>
      <w:lvlJc w:val="left"/>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4152DD1"/>
    <w:multiLevelType w:val="multilevel"/>
    <w:tmpl w:val="74152DD1"/>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444E"/>
    <w:rsid w:val="00185388"/>
    <w:rsid w:val="001943F1"/>
    <w:rsid w:val="001A1EDF"/>
    <w:rsid w:val="001A3304"/>
    <w:rsid w:val="001C4C5D"/>
    <w:rsid w:val="001E077D"/>
    <w:rsid w:val="0021094F"/>
    <w:rsid w:val="002114B9"/>
    <w:rsid w:val="0021517F"/>
    <w:rsid w:val="00215D24"/>
    <w:rsid w:val="00231CEA"/>
    <w:rsid w:val="00240D2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A045C"/>
    <w:rsid w:val="003C2094"/>
    <w:rsid w:val="003C49AF"/>
    <w:rsid w:val="003D00DA"/>
    <w:rsid w:val="003D11A5"/>
    <w:rsid w:val="003D4974"/>
    <w:rsid w:val="003D6934"/>
    <w:rsid w:val="003E1BF9"/>
    <w:rsid w:val="0040317E"/>
    <w:rsid w:val="0041087A"/>
    <w:rsid w:val="00412E90"/>
    <w:rsid w:val="00423D03"/>
    <w:rsid w:val="004250DD"/>
    <w:rsid w:val="00431003"/>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7406A"/>
    <w:rsid w:val="0068224E"/>
    <w:rsid w:val="00691FBB"/>
    <w:rsid w:val="006A04FB"/>
    <w:rsid w:val="006B3B23"/>
    <w:rsid w:val="006B634A"/>
    <w:rsid w:val="006B64B2"/>
    <w:rsid w:val="006C59D1"/>
    <w:rsid w:val="006C7451"/>
    <w:rsid w:val="006E3DDB"/>
    <w:rsid w:val="006F06EF"/>
    <w:rsid w:val="006F4716"/>
    <w:rsid w:val="00712B81"/>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83CE9"/>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25F6"/>
    <w:rsid w:val="00A23C2C"/>
    <w:rsid w:val="00A25C6E"/>
    <w:rsid w:val="00A26126"/>
    <w:rsid w:val="00A27709"/>
    <w:rsid w:val="00A415A9"/>
    <w:rsid w:val="00A57A27"/>
    <w:rsid w:val="00A6034E"/>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47364"/>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16A0"/>
    <w:rsid w:val="00D72148"/>
    <w:rsid w:val="00D907DF"/>
    <w:rsid w:val="00D91198"/>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5F54"/>
    <w:rsid w:val="00E76852"/>
    <w:rsid w:val="00E77F85"/>
    <w:rsid w:val="00E8706F"/>
    <w:rsid w:val="00EA3731"/>
    <w:rsid w:val="00EA6F1B"/>
    <w:rsid w:val="00EC14D2"/>
    <w:rsid w:val="00ED654E"/>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870BD"/>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6FE3DD4"/>
    <w:rsid w:val="2701728E"/>
    <w:rsid w:val="272557B3"/>
    <w:rsid w:val="27683133"/>
    <w:rsid w:val="27777ECB"/>
    <w:rsid w:val="278E3373"/>
    <w:rsid w:val="27A27E15"/>
    <w:rsid w:val="27A6429D"/>
    <w:rsid w:val="27D25539"/>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6C73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CF24C6"/>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0F97E9D"/>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3EB0D53"/>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0"/>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24</Pages>
  <Words>1810</Words>
  <Characters>10322</Characters>
  <Lines>86</Lines>
  <Paragraphs>24</Paragraphs>
  <TotalTime>353</TotalTime>
  <ScaleCrop>false</ScaleCrop>
  <LinksUpToDate>false</LinksUpToDate>
  <CharactersWithSpaces>12108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2021-10-12T03:37:11Z</dcterms:modified>
  <dc:title>招标编号：SCSZ-2013-02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E7558D7948BD46B49D504D1EAC59F27E</vt:lpwstr>
  </property>
</Properties>
</file>