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ind w:firstLine="3240" w:firstLineChars="900"/>
        <w:rPr>
          <w:rFonts w:hint="eastAsia" w:hAnsi="宋体"/>
          <w:color w:val="000000"/>
          <w:sz w:val="36"/>
          <w:szCs w:val="36"/>
        </w:rPr>
      </w:pPr>
    </w:p>
    <w:p>
      <w:pPr>
        <w:snapToGrid w:val="0"/>
        <w:spacing w:line="360" w:lineRule="auto"/>
        <w:ind w:firstLine="360" w:firstLineChars="100"/>
        <w:jc w:val="center"/>
        <w:rPr>
          <w:rFonts w:hint="eastAsia" w:hAnsi="宋体" w:eastAsia="宋体" w:cs="宋体"/>
          <w:bCs/>
          <w:sz w:val="36"/>
          <w:szCs w:val="36"/>
          <w:lang w:eastAsia="zh-CN"/>
        </w:rPr>
      </w:pPr>
      <w:r>
        <w:rPr>
          <w:rFonts w:hint="eastAsia" w:hAnsi="宋体" w:cs="宋体"/>
          <w:bCs/>
          <w:sz w:val="36"/>
          <w:szCs w:val="36"/>
          <w:lang w:val="en-US" w:eastAsia="zh-CN"/>
        </w:rPr>
        <w:t>2023年纸质期刊</w:t>
      </w:r>
      <w:r>
        <w:rPr>
          <w:rFonts w:hint="eastAsia" w:hAnsi="宋体" w:cs="宋体"/>
          <w:bCs/>
          <w:sz w:val="36"/>
          <w:szCs w:val="36"/>
          <w:lang w:eastAsia="zh-CN"/>
        </w:rPr>
        <w:t>采购</w:t>
      </w:r>
    </w:p>
    <w:p>
      <w:pPr>
        <w:snapToGrid w:val="0"/>
        <w:spacing w:line="360" w:lineRule="auto"/>
        <w:ind w:firstLine="3300" w:firstLineChars="1100"/>
        <w:rPr>
          <w:rFonts w:hint="default" w:hAnsi="宋体" w:eastAsia="宋体" w:cs="宋体"/>
          <w:bCs/>
          <w:sz w:val="30"/>
          <w:szCs w:val="30"/>
          <w:lang w:val="en-US" w:eastAsia="zh-CN"/>
        </w:rPr>
      </w:pPr>
      <w:r>
        <w:rPr>
          <w:rFonts w:hint="eastAsia" w:hAnsi="宋体" w:cs="宋体"/>
          <w:bCs/>
          <w:sz w:val="30"/>
          <w:szCs w:val="30"/>
        </w:rPr>
        <w:t>采购编号：</w:t>
      </w:r>
      <w:r>
        <w:rPr>
          <w:rFonts w:hint="eastAsia" w:hAnsi="宋体" w:cs="宋体"/>
          <w:bCs/>
          <w:sz w:val="30"/>
          <w:szCs w:val="30"/>
          <w:lang w:val="en-US" w:eastAsia="zh-CN"/>
        </w:rPr>
        <w:t>TZY-ZB-2022025</w:t>
      </w:r>
    </w:p>
    <w:p>
      <w:pPr>
        <w:snapToGrid w:val="0"/>
        <w:spacing w:line="360" w:lineRule="auto"/>
        <w:jc w:val="center"/>
        <w:rPr>
          <w:rFonts w:hAnsi="宋体" w:cs="宋体"/>
          <w:b/>
          <w:sz w:val="72"/>
          <w:szCs w:val="72"/>
        </w:rPr>
      </w:pPr>
    </w:p>
    <w:p>
      <w:pPr>
        <w:snapToGrid w:val="0"/>
        <w:spacing w:line="360" w:lineRule="auto"/>
        <w:jc w:val="center"/>
        <w:rPr>
          <w:rFonts w:hAnsi="宋体" w:cs="宋体"/>
          <w:b/>
          <w:sz w:val="72"/>
          <w:szCs w:val="72"/>
        </w:rPr>
      </w:pPr>
      <w:r>
        <w:rPr>
          <w:rFonts w:hint="eastAsia" w:hAnsi="宋体" w:cs="宋体"/>
          <w:b/>
          <w:sz w:val="72"/>
          <w:szCs w:val="72"/>
        </w:rPr>
        <w:t>招</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标</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文</w:t>
      </w:r>
    </w:p>
    <w:p>
      <w:pPr>
        <w:snapToGrid w:val="0"/>
        <w:spacing w:line="360" w:lineRule="auto"/>
        <w:jc w:val="center"/>
        <w:rPr>
          <w:rFonts w:hAnsi="宋体" w:cs="宋体"/>
          <w:b/>
          <w:sz w:val="18"/>
          <w:szCs w:val="18"/>
        </w:rPr>
      </w:pPr>
    </w:p>
    <w:p>
      <w:pPr>
        <w:snapToGrid w:val="0"/>
        <w:spacing w:line="360" w:lineRule="auto"/>
        <w:jc w:val="center"/>
        <w:rPr>
          <w:rFonts w:hAnsi="宋体" w:cs="宋体"/>
          <w:b/>
          <w:sz w:val="52"/>
          <w:szCs w:val="52"/>
        </w:rPr>
      </w:pPr>
      <w:r>
        <w:rPr>
          <w:rFonts w:hint="eastAsia" w:hAnsi="宋体" w:cs="宋体"/>
          <w:b/>
          <w:sz w:val="72"/>
          <w:szCs w:val="72"/>
        </w:rPr>
        <w:t>件</w:t>
      </w:r>
    </w:p>
    <w:p>
      <w:pPr>
        <w:autoSpaceDE w:val="0"/>
        <w:autoSpaceDN w:val="0"/>
        <w:adjustRightInd w:val="0"/>
        <w:snapToGrid w:val="0"/>
        <w:spacing w:line="360" w:lineRule="auto"/>
        <w:jc w:val="center"/>
        <w:rPr>
          <w:rFonts w:cs="宋体"/>
          <w:sz w:val="30"/>
          <w:szCs w:val="30"/>
        </w:rPr>
      </w:pPr>
    </w:p>
    <w:p>
      <w:pPr>
        <w:autoSpaceDE w:val="0"/>
        <w:autoSpaceDN w:val="0"/>
        <w:adjustRightInd w:val="0"/>
        <w:snapToGrid w:val="0"/>
        <w:spacing w:line="360" w:lineRule="auto"/>
        <w:jc w:val="center"/>
        <w:rPr>
          <w:rFonts w:hint="eastAsia" w:eastAsia="宋体" w:cs="宋体"/>
          <w:sz w:val="30"/>
          <w:szCs w:val="30"/>
          <w:lang w:eastAsia="zh-CN"/>
        </w:rPr>
      </w:pPr>
      <w:r>
        <w:rPr>
          <w:rFonts w:hint="eastAsia" w:cs="宋体"/>
          <w:sz w:val="30"/>
          <w:szCs w:val="30"/>
        </w:rPr>
        <w:t xml:space="preserve">采   购   人: </w:t>
      </w:r>
      <w:r>
        <w:rPr>
          <w:rFonts w:hint="eastAsia" w:cs="宋体"/>
          <w:sz w:val="30"/>
          <w:szCs w:val="30"/>
          <w:lang w:eastAsia="zh-CN"/>
        </w:rPr>
        <w:t>四川铁道职业学院</w:t>
      </w:r>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lang w:val="en-US" w:eastAsia="zh-CN"/>
        </w:rPr>
        <w:t>2022</w:t>
      </w:r>
      <w:r>
        <w:rPr>
          <w:rFonts w:hint="eastAsia" w:hAnsi="宋体" w:cs="宋体"/>
          <w:bCs/>
          <w:sz w:val="30"/>
          <w:szCs w:val="30"/>
          <w:lang w:val="zh-CN"/>
        </w:rPr>
        <w:t>年</w:t>
      </w:r>
      <w:r>
        <w:rPr>
          <w:rFonts w:hint="eastAsia" w:hAnsi="宋体" w:cs="宋体"/>
          <w:bCs/>
          <w:sz w:val="30"/>
          <w:szCs w:val="30"/>
          <w:lang w:val="en-US" w:eastAsia="zh-CN"/>
        </w:rPr>
        <w:t xml:space="preserve"> 10 </w:t>
      </w:r>
      <w:r>
        <w:rPr>
          <w:rFonts w:hint="eastAsia" w:hAnsi="宋体" w:cs="宋体"/>
          <w:bCs/>
          <w:sz w:val="30"/>
          <w:szCs w:val="30"/>
          <w:lang w:val="zh-CN"/>
        </w:rPr>
        <w:t>月</w:t>
      </w:r>
      <w:bookmarkStart w:id="0" w:name="_Hlt101233737"/>
      <w:bookmarkEnd w:id="0"/>
      <w:bookmarkStart w:id="1" w:name="_Hlt101843627"/>
      <w:bookmarkEnd w:id="1"/>
    </w:p>
    <w:p>
      <w:pPr>
        <w:snapToGrid w:val="0"/>
        <w:spacing w:line="360" w:lineRule="auto"/>
        <w:jc w:val="center"/>
        <w:rPr>
          <w:rFonts w:hAnsi="宋体" w:cs="宋体"/>
          <w:bCs/>
          <w:sz w:val="30"/>
          <w:szCs w:val="30"/>
          <w:lang w:val="zh-CN"/>
        </w:rPr>
      </w:pPr>
    </w:p>
    <w:p>
      <w:pPr>
        <w:snapToGrid w:val="0"/>
        <w:spacing w:line="360" w:lineRule="auto"/>
        <w:jc w:val="center"/>
        <w:rPr>
          <w:rFonts w:hAnsi="宋体" w:cs="宋体"/>
          <w:bCs/>
          <w:sz w:val="30"/>
          <w:szCs w:val="30"/>
        </w:rPr>
      </w:pPr>
    </w:p>
    <w:p>
      <w:pPr>
        <w:pStyle w:val="5"/>
        <w:snapToGrid w:val="0"/>
        <w:spacing w:before="0" w:after="0" w:line="360" w:lineRule="auto"/>
        <w:jc w:val="center"/>
        <w:rPr>
          <w:rStyle w:val="27"/>
          <w:rFonts w:ascii="宋体" w:hAnsi="宋体" w:cs="宋体"/>
          <w:color w:val="auto"/>
          <w:kern w:val="2"/>
          <w:sz w:val="44"/>
          <w:szCs w:val="44"/>
          <w:u w:val="none"/>
        </w:rPr>
      </w:pPr>
      <w:r>
        <w:rPr>
          <w:rStyle w:val="27"/>
          <w:rFonts w:hint="eastAsia" w:ascii="宋体" w:hAnsi="宋体" w:cs="宋体"/>
          <w:color w:val="auto"/>
          <w:kern w:val="2"/>
          <w:sz w:val="44"/>
          <w:szCs w:val="44"/>
          <w:u w:val="none"/>
        </w:rPr>
        <w:t>目    录</w:t>
      </w:r>
    </w:p>
    <w:p/>
    <w:p>
      <w:pPr>
        <w:pStyle w:val="16"/>
        <w:tabs>
          <w:tab w:val="right" w:leader="dot" w:pos="9175"/>
        </w:tabs>
        <w:snapToGrid w:val="0"/>
        <w:spacing w:line="480" w:lineRule="auto"/>
        <w:ind w:firstLine="840" w:firstLineChars="30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3</w:t>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9</w:t>
      </w:r>
    </w:p>
    <w:p>
      <w:pPr>
        <w:pStyle w:val="16"/>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lang w:val="en-US" w:eastAsia="zh-CN"/>
        </w:rPr>
        <w:t>5</w:t>
      </w:r>
    </w:p>
    <w:p>
      <w:pPr>
        <w:pStyle w:val="16"/>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2" w:name="_Hlt360036319"/>
      <w:bookmarkStart w:id="3" w:name="_Hlt360036320"/>
      <w:r>
        <w:rPr>
          <w:rFonts w:hint="eastAsia" w:hAnsi="宋体" w:cs="宋体"/>
          <w:sz w:val="28"/>
          <w:szCs w:val="28"/>
        </w:rPr>
        <w:tab/>
      </w:r>
      <w:bookmarkEnd w:id="2"/>
      <w:bookmarkEnd w:id="3"/>
      <w:r>
        <w:rPr>
          <w:rFonts w:hint="eastAsia" w:hAnsi="宋体" w:cs="宋体"/>
          <w:sz w:val="28"/>
          <w:szCs w:val="28"/>
        </w:rPr>
        <w:fldChar w:fldCharType="end"/>
      </w:r>
      <w:r>
        <w:rPr>
          <w:rFonts w:hint="eastAsia" w:hAnsi="宋体" w:cs="宋体"/>
          <w:sz w:val="28"/>
          <w:szCs w:val="28"/>
          <w:lang w:val="en-US" w:eastAsia="zh-CN"/>
        </w:rPr>
        <w:t>19</w:t>
      </w:r>
    </w:p>
    <w:p>
      <w:pPr>
        <w:pStyle w:val="16"/>
        <w:tabs>
          <w:tab w:val="right" w:leader="dot" w:pos="9175"/>
        </w:tabs>
        <w:snapToGrid w:val="0"/>
        <w:spacing w:line="480" w:lineRule="auto"/>
        <w:ind w:firstLine="792" w:firstLineChars="233"/>
        <w:rPr>
          <w:rFonts w:hint="default" w:hAnsi="宋体" w:cs="宋体"/>
          <w:sz w:val="28"/>
          <w:szCs w:val="28"/>
          <w:lang w:val="en-US" w:eastAsia="zh-CN"/>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lang w:val="en-US" w:eastAsia="zh-CN"/>
        </w:rPr>
        <w:t>22</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1854"/>
        </w:tabs>
        <w:bidi w:val="0"/>
        <w:jc w:val="left"/>
        <w:rPr>
          <w:rFonts w:hint="default"/>
          <w:lang w:val="en-US" w:eastAsia="zh-CN"/>
        </w:rPr>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rPr>
          <w:rFonts w:hint="eastAsia"/>
          <w:lang w:val="en-US" w:eastAsia="zh-CN"/>
        </w:rPr>
        <w:tab/>
      </w:r>
    </w:p>
    <w:p>
      <w:pPr>
        <w:pStyle w:val="4"/>
        <w:snapToGrid w:val="0"/>
        <w:spacing w:before="0" w:after="0" w:line="360" w:lineRule="auto"/>
        <w:jc w:val="center"/>
        <w:rPr>
          <w:rFonts w:hAnsi="宋体" w:cs="宋体"/>
          <w:sz w:val="30"/>
          <w:szCs w:val="30"/>
        </w:rPr>
      </w:pPr>
      <w:bookmarkStart w:id="4" w:name="_Toc358883241"/>
      <w:r>
        <w:rPr>
          <w:rFonts w:hint="eastAsia" w:hAnsi="宋体" w:cs="宋体"/>
          <w:sz w:val="30"/>
          <w:szCs w:val="30"/>
        </w:rPr>
        <w:t>第一章  投标邀请</w:t>
      </w:r>
      <w:bookmarkEnd w:id="4"/>
    </w:p>
    <w:p>
      <w:pPr>
        <w:snapToGrid w:val="0"/>
        <w:spacing w:line="360" w:lineRule="auto"/>
        <w:ind w:firstLine="480" w:firstLineChars="200"/>
        <w:jc w:val="both"/>
        <w:rPr>
          <w:rFonts w:ascii="仿宋_GB2312" w:hAnsi="宋体" w:eastAsia="仿宋_GB2312"/>
          <w:sz w:val="28"/>
        </w:rPr>
      </w:pPr>
      <w:r>
        <w:rPr>
          <w:rFonts w:hint="eastAsia" w:hAnsi="宋体" w:cs="宋体"/>
          <w:bCs/>
          <w:sz w:val="24"/>
          <w:szCs w:val="24"/>
          <w:u w:val="single"/>
        </w:rPr>
        <w:t xml:space="preserve"> </w:t>
      </w:r>
      <w:r>
        <w:rPr>
          <w:rFonts w:hint="eastAsia" w:hAnsi="宋体" w:cs="宋体"/>
          <w:bCs/>
          <w:sz w:val="24"/>
          <w:szCs w:val="24"/>
          <w:u w:val="single"/>
          <w:lang w:eastAsia="zh-CN"/>
        </w:rPr>
        <w:t>四川铁道职业学院</w:t>
      </w:r>
      <w:r>
        <w:rPr>
          <w:rFonts w:hint="eastAsia" w:hAnsi="宋体" w:cs="宋体"/>
          <w:bCs/>
          <w:sz w:val="24"/>
          <w:szCs w:val="24"/>
        </w:rPr>
        <w:t>就</w:t>
      </w:r>
      <w:r>
        <w:rPr>
          <w:rFonts w:hint="eastAsia" w:hAnsi="宋体" w:cs="宋体"/>
          <w:bCs/>
          <w:sz w:val="24"/>
          <w:szCs w:val="24"/>
          <w:u w:val="single"/>
          <w:lang w:val="en-US" w:eastAsia="zh-CN"/>
        </w:rPr>
        <w:t xml:space="preserve"> 2023年期刊 </w:t>
      </w:r>
      <w:r>
        <w:rPr>
          <w:rFonts w:hint="eastAsia" w:hAnsi="宋体" w:cs="宋体"/>
          <w:bCs/>
          <w:sz w:val="24"/>
          <w:szCs w:val="24"/>
          <w:u w:val="none"/>
          <w:lang w:eastAsia="zh-CN"/>
        </w:rPr>
        <w:t>采购</w:t>
      </w:r>
      <w:r>
        <w:rPr>
          <w:rFonts w:hint="eastAsia" w:hAnsi="宋体" w:cs="宋体"/>
          <w:bCs/>
          <w:sz w:val="24"/>
          <w:szCs w:val="24"/>
          <w:u w:val="none"/>
          <w:lang w:val="en-US" w:eastAsia="zh-CN"/>
        </w:rPr>
        <w:t>项目</w:t>
      </w:r>
      <w:r>
        <w:rPr>
          <w:rFonts w:hint="eastAsia" w:hAnsi="宋体" w:cs="宋体"/>
          <w:bCs/>
          <w:sz w:val="24"/>
          <w:szCs w:val="24"/>
        </w:rPr>
        <w:t>进行公开招标，兹邀请符合本次招标要求的供应商参加投标</w:t>
      </w:r>
      <w:r>
        <w:rPr>
          <w:rFonts w:hint="eastAsia" w:hAnsi="宋体" w:cs="宋体"/>
          <w:sz w:val="24"/>
          <w:szCs w:val="24"/>
        </w:rPr>
        <w:t>。</w:t>
      </w:r>
    </w:p>
    <w:p>
      <w:pPr>
        <w:pStyle w:val="10"/>
        <w:numPr>
          <w:ilvl w:val="0"/>
          <w:numId w:val="2"/>
        </w:numPr>
        <w:snapToGrid w:val="0"/>
        <w:spacing w:line="360" w:lineRule="auto"/>
        <w:ind w:firstLine="441" w:firstLineChars="183"/>
        <w:rPr>
          <w:rFonts w:hint="eastAsia" w:ascii="宋体" w:hAnsi="宋体" w:cs="宋体"/>
          <w:b/>
          <w:sz w:val="24"/>
          <w:szCs w:val="24"/>
          <w:u w:val="single"/>
        </w:rPr>
      </w:pPr>
      <w:r>
        <w:rPr>
          <w:rFonts w:hint="eastAsia" w:ascii="宋体" w:hAnsi="宋体" w:cs="宋体"/>
          <w:b/>
          <w:sz w:val="24"/>
          <w:szCs w:val="24"/>
        </w:rPr>
        <w:t>招标编号：</w:t>
      </w:r>
      <w:r>
        <w:rPr>
          <w:rFonts w:hint="eastAsia" w:hAnsi="宋体" w:cs="宋体"/>
          <w:bCs/>
          <w:sz w:val="24"/>
          <w:szCs w:val="24"/>
          <w:u w:val="single"/>
          <w:lang w:val="en-US" w:eastAsia="zh-CN"/>
        </w:rPr>
        <w:t>TZY--ZB--2022025</w:t>
      </w:r>
    </w:p>
    <w:p>
      <w:pPr>
        <w:pStyle w:val="10"/>
        <w:numPr>
          <w:ilvl w:val="0"/>
          <w:numId w:val="2"/>
        </w:numPr>
        <w:snapToGrid w:val="0"/>
        <w:spacing w:line="360" w:lineRule="auto"/>
        <w:ind w:firstLine="441" w:firstLineChars="183"/>
        <w:rPr>
          <w:rFonts w:ascii="宋体" w:hAnsi="宋体" w:cs="宋体"/>
          <w:b w:val="0"/>
          <w:bCs/>
          <w:sz w:val="24"/>
          <w:szCs w:val="24"/>
          <w:lang w:val="zh-CN"/>
        </w:rPr>
      </w:pPr>
      <w:r>
        <w:rPr>
          <w:rFonts w:hint="eastAsia" w:ascii="宋体" w:hAnsi="宋体" w:cs="宋体"/>
          <w:b/>
          <w:sz w:val="24"/>
          <w:szCs w:val="24"/>
        </w:rPr>
        <w:t>招标项目：</w:t>
      </w:r>
      <w:r>
        <w:rPr>
          <w:rFonts w:hint="eastAsia" w:ascii="宋体" w:hAnsi="宋体" w:cs="宋体"/>
          <w:b/>
          <w:sz w:val="24"/>
          <w:szCs w:val="24"/>
          <w:lang w:val="en-US" w:eastAsia="zh-CN"/>
        </w:rPr>
        <w:t>2023年期刊采购</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三、资金来源：</w:t>
      </w:r>
      <w:r>
        <w:rPr>
          <w:rFonts w:hint="eastAsia" w:hAnsi="宋体" w:cs="宋体"/>
          <w:bCs/>
          <w:sz w:val="24"/>
          <w:szCs w:val="24"/>
        </w:rPr>
        <w:t>财政资金</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四、招标项目简介：</w:t>
      </w:r>
    </w:p>
    <w:p>
      <w:pPr>
        <w:snapToGrid w:val="0"/>
        <w:spacing w:line="360" w:lineRule="auto"/>
        <w:ind w:firstLine="1000" w:firstLineChars="417"/>
        <w:rPr>
          <w:rFonts w:hAnsi="宋体" w:cs="宋体"/>
          <w:sz w:val="24"/>
          <w:szCs w:val="24"/>
        </w:rPr>
      </w:pPr>
      <w:r>
        <w:rPr>
          <w:rFonts w:hint="eastAsia" w:hAnsi="宋体" w:cs="宋体"/>
          <w:sz w:val="24"/>
          <w:szCs w:val="24"/>
        </w:rPr>
        <w:t>详见第四章</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五、供应商参加本次政府采购活动应具备下列条件：</w:t>
      </w:r>
    </w:p>
    <w:p>
      <w:pPr>
        <w:snapToGrid w:val="0"/>
        <w:spacing w:line="360" w:lineRule="auto"/>
        <w:ind w:firstLine="480" w:firstLineChars="200"/>
        <w:rPr>
          <w:rFonts w:hAnsi="宋体" w:cs="宋体"/>
          <w:sz w:val="24"/>
          <w:szCs w:val="24"/>
        </w:rPr>
      </w:pPr>
      <w:r>
        <w:rPr>
          <w:rFonts w:hint="eastAsia" w:hAnsi="宋体" w:cs="宋体"/>
          <w:sz w:val="24"/>
          <w:szCs w:val="24"/>
        </w:rPr>
        <w:t>投标人必须符合《政府采购法》第二十二条要求，且满足以下条件：</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1.具有独立承担民事责任的能力；</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2.具有良好的商业信誉和健全的财务会计制度；</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3.具有履行合同所必须的设备和专业技术能力；</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4.具有依法缴纳税收和社会保障资金的良好记录；</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5.参加本次采购活动前三年内，在经营活动中没有重大违法记录；</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6.法律、行政法规规定的其他条件；</w:t>
      </w:r>
    </w:p>
    <w:p>
      <w:pPr>
        <w:tabs>
          <w:tab w:val="left" w:pos="7665"/>
        </w:tabs>
        <w:spacing w:line="440" w:lineRule="exact"/>
        <w:ind w:firstLine="600" w:firstLineChars="250"/>
        <w:rPr>
          <w:rFonts w:hAnsi="宋体" w:cs="宋体"/>
          <w:sz w:val="24"/>
          <w:szCs w:val="24"/>
        </w:rPr>
      </w:pPr>
      <w:r>
        <w:rPr>
          <w:rFonts w:hint="eastAsia" w:hAnsi="宋体" w:cs="宋体"/>
          <w:kern w:val="0"/>
          <w:sz w:val="24"/>
          <w:szCs w:val="22"/>
          <w:lang w:val="en-US" w:eastAsia="zh-CN"/>
        </w:rPr>
        <w:t>7</w:t>
      </w:r>
      <w:r>
        <w:rPr>
          <w:rFonts w:hint="eastAsia" w:ascii="宋体" w:hAnsi="宋体" w:cs="宋体"/>
          <w:kern w:val="0"/>
          <w:sz w:val="24"/>
          <w:szCs w:val="22"/>
        </w:rPr>
        <w:t>.本项目不接受联合体参与</w:t>
      </w:r>
      <w:r>
        <w:rPr>
          <w:rFonts w:hint="eastAsia" w:hAnsi="宋体" w:cs="宋体"/>
          <w:kern w:val="0"/>
          <w:sz w:val="24"/>
          <w:szCs w:val="22"/>
          <w:lang w:eastAsia="zh-CN"/>
        </w:rPr>
        <w:t>招标</w:t>
      </w:r>
      <w:r>
        <w:rPr>
          <w:rFonts w:hint="eastAsia" w:ascii="宋体" w:hAnsi="宋体" w:cs="宋体"/>
          <w:kern w:val="0"/>
          <w:sz w:val="24"/>
          <w:szCs w:val="22"/>
        </w:rPr>
        <w:t>。</w:t>
      </w:r>
    </w:p>
    <w:p>
      <w:pPr>
        <w:snapToGrid w:val="0"/>
        <w:spacing w:line="360" w:lineRule="auto"/>
        <w:ind w:firstLine="479" w:firstLineChars="199"/>
        <w:rPr>
          <w:rFonts w:hAnsi="宋体" w:cs="宋体"/>
          <w:sz w:val="24"/>
          <w:szCs w:val="24"/>
        </w:rPr>
      </w:pPr>
      <w:r>
        <w:rPr>
          <w:rFonts w:hint="eastAsia" w:hAnsi="宋体" w:cs="宋体"/>
          <w:b/>
          <w:sz w:val="24"/>
          <w:szCs w:val="24"/>
        </w:rPr>
        <w:t>六、投标截止时间和开标时间：</w:t>
      </w:r>
      <w:r>
        <w:rPr>
          <w:rFonts w:hint="eastAsia" w:hAnsi="宋体" w:cs="宋体"/>
          <w:b/>
          <w:sz w:val="24"/>
          <w:szCs w:val="24"/>
          <w:lang w:val="en-US" w:eastAsia="zh-CN"/>
        </w:rPr>
        <w:t xml:space="preserve">2022 </w:t>
      </w:r>
      <w:r>
        <w:rPr>
          <w:rFonts w:hint="eastAsia" w:hAnsi="宋体" w:cs="宋体"/>
          <w:bCs/>
          <w:sz w:val="24"/>
          <w:szCs w:val="24"/>
        </w:rPr>
        <w:t>年</w:t>
      </w:r>
      <w:r>
        <w:rPr>
          <w:rFonts w:hint="eastAsia" w:hAnsi="宋体" w:cs="宋体"/>
          <w:bCs/>
          <w:sz w:val="24"/>
          <w:szCs w:val="24"/>
          <w:lang w:val="en-US" w:eastAsia="zh-CN"/>
        </w:rPr>
        <w:t>10</w:t>
      </w:r>
      <w:r>
        <w:rPr>
          <w:rFonts w:hint="eastAsia" w:hAnsi="宋体" w:cs="宋体"/>
          <w:bCs/>
          <w:sz w:val="24"/>
          <w:szCs w:val="24"/>
        </w:rPr>
        <w:t>月</w:t>
      </w:r>
      <w:r>
        <w:rPr>
          <w:rFonts w:hint="eastAsia" w:hAnsi="宋体" w:cs="宋体"/>
          <w:bCs/>
          <w:sz w:val="24"/>
          <w:szCs w:val="24"/>
          <w:lang w:val="en-US" w:eastAsia="zh-CN"/>
        </w:rPr>
        <w:t xml:space="preserve"> 14 </w:t>
      </w:r>
      <w:r>
        <w:rPr>
          <w:rFonts w:hint="eastAsia" w:hAnsi="宋体" w:cs="宋体"/>
          <w:bCs/>
          <w:sz w:val="24"/>
          <w:szCs w:val="24"/>
        </w:rPr>
        <w:t>日</w:t>
      </w:r>
      <w:r>
        <w:rPr>
          <w:rFonts w:hint="eastAsia" w:hAnsi="宋体" w:cs="宋体"/>
          <w:bCs/>
          <w:sz w:val="24"/>
          <w:szCs w:val="24"/>
          <w:lang w:val="en-US" w:eastAsia="zh-CN"/>
        </w:rPr>
        <w:t xml:space="preserve"> 10:00  </w:t>
      </w:r>
      <w:r>
        <w:rPr>
          <w:rFonts w:hint="eastAsia" w:hAnsi="宋体" w:cs="宋体"/>
          <w:sz w:val="24"/>
          <w:szCs w:val="24"/>
        </w:rPr>
        <w:t>（北京时间）。</w:t>
      </w:r>
    </w:p>
    <w:p>
      <w:pPr>
        <w:pStyle w:val="10"/>
        <w:snapToGrid w:val="0"/>
        <w:spacing w:line="360" w:lineRule="auto"/>
        <w:ind w:firstLine="439" w:firstLineChars="183"/>
        <w:rPr>
          <w:rFonts w:hint="eastAsia" w:ascii="宋体" w:hAnsi="宋体" w:cs="宋体"/>
          <w:sz w:val="24"/>
          <w:szCs w:val="24"/>
        </w:rPr>
      </w:pPr>
      <w:r>
        <w:rPr>
          <w:rFonts w:hint="eastAsia" w:ascii="宋体" w:hAnsi="宋体" w:cs="宋体"/>
          <w:sz w:val="24"/>
          <w:szCs w:val="24"/>
        </w:rPr>
        <w:t>投标文件必须在投标截止时间前送达开标地点，并签到（签到地点：</w:t>
      </w:r>
      <w:r>
        <w:rPr>
          <w:rFonts w:hint="eastAsia" w:hAnsi="宋体" w:cs="宋体"/>
          <w:sz w:val="24"/>
        </w:rPr>
        <w:t>四川成都郫</w:t>
      </w:r>
      <w:r>
        <w:rPr>
          <w:rFonts w:hint="eastAsia" w:hAnsi="宋体" w:cs="宋体"/>
          <w:sz w:val="24"/>
          <w:lang w:eastAsia="zh-CN"/>
        </w:rPr>
        <w:t>都区</w:t>
      </w:r>
      <w:r>
        <w:rPr>
          <w:rFonts w:hint="eastAsia" w:hAnsi="宋体" w:cs="宋体"/>
          <w:sz w:val="24"/>
        </w:rPr>
        <w:t>安德</w:t>
      </w:r>
      <w:r>
        <w:rPr>
          <w:rFonts w:hint="eastAsia" w:hAnsi="宋体" w:cs="宋体"/>
          <w:sz w:val="24"/>
          <w:lang w:eastAsia="zh-CN"/>
        </w:rPr>
        <w:t>街道</w:t>
      </w:r>
      <w:r>
        <w:rPr>
          <w:rFonts w:hint="eastAsia" w:hAnsi="宋体" w:cs="宋体"/>
          <w:sz w:val="24"/>
        </w:rPr>
        <w:t>彭温路399号</w:t>
      </w:r>
      <w:r>
        <w:rPr>
          <w:rFonts w:hint="eastAsia" w:ascii="宋体"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10"/>
        <w:snapToGrid w:val="0"/>
        <w:spacing w:line="360" w:lineRule="auto"/>
        <w:ind w:firstLine="439" w:firstLineChars="183"/>
        <w:rPr>
          <w:rFonts w:hint="eastAsia" w:ascii="宋体" w:hAnsi="宋体" w:cs="宋体"/>
          <w:sz w:val="24"/>
          <w:szCs w:val="24"/>
        </w:rPr>
      </w:pPr>
      <w:r>
        <w:rPr>
          <w:rFonts w:hint="eastAsia" w:ascii="宋体" w:hAnsi="宋体" w:cs="宋体"/>
          <w:sz w:val="24"/>
          <w:szCs w:val="24"/>
        </w:rPr>
        <w:t>特别说明：因疫情期间，为保证安全，请前来投标的商家戴好口罩，准备健康二维码，服从学校</w:t>
      </w:r>
      <w:r>
        <w:rPr>
          <w:rFonts w:hint="eastAsia" w:ascii="宋体" w:hAnsi="宋体" w:cs="宋体"/>
          <w:sz w:val="24"/>
          <w:szCs w:val="24"/>
          <w:lang w:eastAsia="zh-CN"/>
        </w:rPr>
        <w:t>疫情防控</w:t>
      </w:r>
      <w:r>
        <w:rPr>
          <w:rFonts w:hint="eastAsia" w:ascii="宋体" w:hAnsi="宋体" w:cs="宋体"/>
          <w:sz w:val="24"/>
          <w:szCs w:val="24"/>
        </w:rPr>
        <w:t>管理，做好个人防护。</w:t>
      </w:r>
    </w:p>
    <w:p>
      <w:pPr>
        <w:pStyle w:val="10"/>
        <w:snapToGrid w:val="0"/>
        <w:spacing w:line="360" w:lineRule="auto"/>
        <w:ind w:firstLine="482" w:firstLineChars="200"/>
        <w:rPr>
          <w:rFonts w:hint="default" w:ascii="宋体" w:hAnsi="宋体" w:eastAsia="宋体" w:cs="宋体"/>
          <w:sz w:val="24"/>
          <w:szCs w:val="24"/>
          <w:lang w:val="en-US" w:eastAsia="zh-CN"/>
        </w:rPr>
      </w:pPr>
      <w:r>
        <w:rPr>
          <w:rFonts w:hint="eastAsia" w:hAnsi="宋体" w:cs="宋体"/>
          <w:b/>
          <w:bCs/>
          <w:sz w:val="24"/>
          <w:szCs w:val="24"/>
        </w:rPr>
        <w:t>七</w:t>
      </w:r>
      <w:r>
        <w:rPr>
          <w:rFonts w:hint="eastAsia" w:ascii="宋体" w:hAnsi="宋体" w:cs="宋体"/>
          <w:b/>
          <w:bCs/>
          <w:sz w:val="24"/>
          <w:szCs w:val="24"/>
        </w:rPr>
        <w:t>、</w:t>
      </w:r>
      <w:r>
        <w:rPr>
          <w:rFonts w:hint="eastAsia" w:ascii="宋体" w:hAnsi="宋体" w:cs="宋体"/>
          <w:b/>
          <w:kern w:val="0"/>
          <w:sz w:val="24"/>
          <w:szCs w:val="24"/>
        </w:rPr>
        <w:t>递交投标文件及开标地点</w:t>
      </w:r>
      <w:r>
        <w:rPr>
          <w:rFonts w:hint="eastAsia" w:ascii="宋体" w:hAnsi="宋体" w:cs="宋体"/>
          <w:sz w:val="24"/>
          <w:szCs w:val="24"/>
        </w:rPr>
        <w:t>：</w:t>
      </w:r>
      <w:r>
        <w:rPr>
          <w:rFonts w:hint="eastAsia" w:hAnsi="宋体" w:cs="宋体"/>
          <w:sz w:val="24"/>
        </w:rPr>
        <w:t>四川成都郫</w:t>
      </w:r>
      <w:r>
        <w:rPr>
          <w:rFonts w:hint="eastAsia" w:hAnsi="宋体" w:cs="宋体"/>
          <w:sz w:val="24"/>
          <w:lang w:eastAsia="zh-CN"/>
        </w:rPr>
        <w:t>都区</w:t>
      </w:r>
      <w:r>
        <w:rPr>
          <w:rFonts w:hint="eastAsia" w:hAnsi="宋体" w:cs="宋体"/>
          <w:sz w:val="24"/>
        </w:rPr>
        <w:t>安德</w:t>
      </w:r>
      <w:r>
        <w:rPr>
          <w:rFonts w:hint="eastAsia" w:hAnsi="宋体" w:cs="宋体"/>
          <w:sz w:val="24"/>
          <w:lang w:eastAsia="zh-CN"/>
        </w:rPr>
        <w:t>街道</w:t>
      </w:r>
      <w:r>
        <w:rPr>
          <w:rFonts w:hint="eastAsia" w:hAnsi="宋体" w:cs="宋体"/>
          <w:sz w:val="24"/>
        </w:rPr>
        <w:t>彭温路399号</w:t>
      </w:r>
      <w:r>
        <w:rPr>
          <w:rFonts w:hint="eastAsia" w:hAnsi="宋体" w:cs="宋体"/>
          <w:sz w:val="24"/>
          <w:lang w:eastAsia="zh-CN"/>
        </w:rPr>
        <w:t>后勤基建办公区</w:t>
      </w:r>
      <w:r>
        <w:rPr>
          <w:rFonts w:hint="eastAsia" w:hAnsi="宋体" w:cs="宋体"/>
          <w:sz w:val="24"/>
          <w:lang w:val="en-US" w:eastAsia="zh-CN"/>
        </w:rPr>
        <w:t>2F开标室</w:t>
      </w:r>
    </w:p>
    <w:p>
      <w:pPr>
        <w:pStyle w:val="57"/>
        <w:snapToGrid w:val="0"/>
        <w:ind w:firstLine="479" w:firstLineChars="199"/>
        <w:rPr>
          <w:rFonts w:hAnsi="宋体" w:cs="宋体"/>
          <w:b/>
          <w:sz w:val="24"/>
          <w:szCs w:val="24"/>
        </w:rPr>
      </w:pPr>
      <w:r>
        <w:rPr>
          <w:rFonts w:hint="eastAsia" w:hAnsi="宋体" w:cs="宋体"/>
          <w:b/>
          <w:sz w:val="24"/>
          <w:szCs w:val="24"/>
        </w:rPr>
        <w:t>八、联系方式</w:t>
      </w:r>
    </w:p>
    <w:p>
      <w:pPr>
        <w:pStyle w:val="57"/>
        <w:snapToGrid w:val="0"/>
        <w:ind w:firstLine="950" w:firstLineChars="396"/>
        <w:rPr>
          <w:rFonts w:hAnsi="宋体" w:cs="宋体"/>
          <w:snapToGrid w:val="0"/>
          <w:sz w:val="24"/>
        </w:rPr>
      </w:pPr>
      <w:r>
        <w:rPr>
          <w:rFonts w:hint="eastAsia" w:hAnsi="宋体" w:cs="宋体"/>
          <w:snapToGrid w:val="0"/>
          <w:sz w:val="24"/>
        </w:rPr>
        <w:t>采购人：四川铁道职业学院</w:t>
      </w:r>
    </w:p>
    <w:p>
      <w:pPr>
        <w:pStyle w:val="57"/>
        <w:snapToGrid w:val="0"/>
        <w:ind w:firstLine="919" w:firstLineChars="383"/>
        <w:rPr>
          <w:rFonts w:hAnsi="宋体" w:cs="宋体"/>
          <w:sz w:val="24"/>
          <w:highlight w:val="yellow"/>
        </w:rPr>
      </w:pPr>
      <w:r>
        <w:rPr>
          <w:rFonts w:hint="eastAsia" w:hAnsi="宋体" w:cs="宋体"/>
          <w:bCs/>
          <w:sz w:val="24"/>
        </w:rPr>
        <w:t>地址：</w:t>
      </w:r>
      <w:r>
        <w:rPr>
          <w:rFonts w:hint="eastAsia" w:hAnsi="宋体" w:cs="宋体"/>
          <w:bCs/>
          <w:sz w:val="24"/>
          <w:lang w:val="en-US" w:eastAsia="zh-CN"/>
        </w:rPr>
        <w:t xml:space="preserve"> </w:t>
      </w:r>
      <w:r>
        <w:rPr>
          <w:rFonts w:hint="eastAsia" w:hAnsi="宋体" w:cs="宋体"/>
          <w:sz w:val="24"/>
        </w:rPr>
        <w:t>四川成都郫</w:t>
      </w:r>
      <w:r>
        <w:rPr>
          <w:rFonts w:hint="eastAsia" w:hAnsi="宋体" w:cs="宋体"/>
          <w:sz w:val="24"/>
          <w:lang w:eastAsia="zh-CN"/>
        </w:rPr>
        <w:t>都区</w:t>
      </w:r>
      <w:r>
        <w:rPr>
          <w:rFonts w:hint="eastAsia" w:hAnsi="宋体" w:cs="宋体"/>
          <w:sz w:val="24"/>
        </w:rPr>
        <w:t>安德</w:t>
      </w:r>
      <w:r>
        <w:rPr>
          <w:rFonts w:hint="eastAsia" w:hAnsi="宋体" w:cs="宋体"/>
          <w:sz w:val="24"/>
          <w:lang w:eastAsia="zh-CN"/>
        </w:rPr>
        <w:t>街道</w:t>
      </w:r>
      <w:r>
        <w:rPr>
          <w:rFonts w:hint="eastAsia" w:hAnsi="宋体" w:cs="宋体"/>
          <w:sz w:val="24"/>
        </w:rPr>
        <w:t>彭温路399号</w:t>
      </w:r>
    </w:p>
    <w:p>
      <w:pPr>
        <w:pStyle w:val="57"/>
        <w:snapToGrid w:val="0"/>
        <w:ind w:firstLine="919" w:firstLineChars="383"/>
        <w:rPr>
          <w:rFonts w:hint="eastAsia" w:hAnsi="宋体" w:eastAsia="宋体" w:cs="宋体"/>
          <w:sz w:val="24"/>
          <w:lang w:eastAsia="zh-CN"/>
        </w:rPr>
      </w:pPr>
      <w:r>
        <w:rPr>
          <w:rFonts w:hint="eastAsia" w:hAnsi="宋体" w:cs="宋体"/>
          <w:sz w:val="24"/>
        </w:rPr>
        <w:t>联系人：</w:t>
      </w:r>
      <w:r>
        <w:rPr>
          <w:rFonts w:hint="eastAsia" w:hAnsi="宋体" w:cs="宋体"/>
          <w:sz w:val="24"/>
          <w:lang w:eastAsia="zh-CN"/>
        </w:rPr>
        <w:t>贺</w:t>
      </w:r>
      <w:r>
        <w:rPr>
          <w:rFonts w:hint="eastAsia" w:hAnsi="宋体" w:cs="宋体"/>
          <w:sz w:val="24"/>
        </w:rPr>
        <w:t xml:space="preserve">老师 </w:t>
      </w:r>
      <w:r>
        <w:rPr>
          <w:rFonts w:hint="eastAsia" w:hAnsi="宋体" w:cs="宋体"/>
          <w:sz w:val="24"/>
          <w:lang w:eastAsia="zh-CN"/>
        </w:rPr>
        <w:t>、桑老师</w:t>
      </w:r>
      <w:r>
        <w:rPr>
          <w:rFonts w:hint="eastAsia" w:hAnsi="宋体" w:cs="宋体"/>
          <w:sz w:val="24"/>
        </w:rPr>
        <w:t xml:space="preserve">  </w:t>
      </w:r>
    </w:p>
    <w:p>
      <w:pPr>
        <w:pStyle w:val="57"/>
        <w:snapToGrid w:val="0"/>
        <w:ind w:firstLine="919" w:firstLineChars="383"/>
        <w:rPr>
          <w:rFonts w:hint="default" w:hAnsi="宋体" w:eastAsia="宋体" w:cs="宋体"/>
          <w:sz w:val="24"/>
          <w:lang w:val="en-US" w:eastAsia="zh-CN"/>
        </w:rPr>
      </w:pPr>
      <w:r>
        <w:rPr>
          <w:rFonts w:hint="eastAsia" w:hAnsi="宋体" w:cs="宋体"/>
          <w:sz w:val="24"/>
        </w:rPr>
        <w:t>联系电话：028-6893</w:t>
      </w:r>
      <w:r>
        <w:rPr>
          <w:rFonts w:hint="eastAsia" w:hAnsi="宋体" w:cs="宋体"/>
          <w:sz w:val="24"/>
          <w:lang w:val="en-US" w:eastAsia="zh-CN"/>
        </w:rPr>
        <w:t>9875  、68939922</w:t>
      </w:r>
    </w:p>
    <w:p>
      <w:pPr>
        <w:pStyle w:val="4"/>
        <w:snapToGrid w:val="0"/>
        <w:spacing w:before="0" w:after="0" w:line="360" w:lineRule="auto"/>
        <w:ind w:firstLine="3614" w:firstLineChars="1200"/>
        <w:jc w:val="both"/>
        <w:rPr>
          <w:rFonts w:hAnsi="宋体" w:cs="宋体"/>
          <w:sz w:val="30"/>
          <w:szCs w:val="30"/>
        </w:rPr>
      </w:pPr>
      <w:bookmarkStart w:id="5" w:name="_Toc213396945"/>
      <w:bookmarkStart w:id="6" w:name="_Toc217446031"/>
      <w:bookmarkStart w:id="7" w:name="_Toc213397009"/>
      <w:bookmarkStart w:id="8" w:name="_Toc213396759"/>
      <w:bookmarkStart w:id="9" w:name="_Toc213496267"/>
      <w:bookmarkStart w:id="10" w:name="_Toc358883242"/>
      <w:r>
        <w:rPr>
          <w:rFonts w:hint="eastAsia" w:hAnsi="宋体" w:cs="宋体"/>
          <w:sz w:val="30"/>
          <w:szCs w:val="30"/>
        </w:rPr>
        <w:t>第二章  投标人须知</w:t>
      </w:r>
      <w:bookmarkEnd w:id="5"/>
      <w:bookmarkEnd w:id="6"/>
      <w:bookmarkEnd w:id="7"/>
      <w:bookmarkEnd w:id="8"/>
      <w:bookmarkEnd w:id="9"/>
      <w:bookmarkEnd w:id="10"/>
    </w:p>
    <w:p>
      <w:pPr>
        <w:pStyle w:val="5"/>
        <w:snapToGrid w:val="0"/>
        <w:spacing w:before="0" w:after="0" w:line="360" w:lineRule="auto"/>
        <w:jc w:val="center"/>
        <w:rPr>
          <w:rFonts w:ascii="宋体" w:hAnsi="宋体" w:eastAsia="宋体" w:cs="宋体"/>
          <w:sz w:val="30"/>
          <w:szCs w:val="30"/>
        </w:rPr>
      </w:pPr>
      <w:bookmarkStart w:id="11" w:name="_Toc217446032"/>
      <w:bookmarkStart w:id="12" w:name="_Toc213396946"/>
      <w:bookmarkStart w:id="13" w:name="_Toc213397010"/>
      <w:bookmarkStart w:id="14" w:name="_Toc189727030"/>
      <w:bookmarkStart w:id="15" w:name="_Toc213496268"/>
      <w:bookmarkStart w:id="16" w:name="_Toc213396760"/>
      <w:r>
        <w:rPr>
          <w:rFonts w:hint="eastAsia" w:ascii="宋体" w:hAnsi="宋体" w:eastAsia="宋体" w:cs="宋体"/>
          <w:sz w:val="30"/>
          <w:szCs w:val="30"/>
        </w:rPr>
        <w:t>一、投标人须知附表</w:t>
      </w:r>
      <w:bookmarkEnd w:id="11"/>
      <w:bookmarkEnd w:id="12"/>
      <w:bookmarkEnd w:id="13"/>
      <w:bookmarkEnd w:id="14"/>
      <w:bookmarkEnd w:id="15"/>
      <w:bookmarkEnd w:id="16"/>
    </w:p>
    <w:tbl>
      <w:tblPr>
        <w:tblStyle w:val="21"/>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374" w:hRule="exact"/>
          <w:tblHeader/>
          <w:jc w:val="center"/>
        </w:trPr>
        <w:tc>
          <w:tcPr>
            <w:tcW w:w="771" w:type="dxa"/>
            <w:vAlign w:val="center"/>
          </w:tcPr>
          <w:p>
            <w:pPr>
              <w:pStyle w:val="59"/>
              <w:snapToGrid w:val="0"/>
              <w:spacing w:line="360" w:lineRule="auto"/>
              <w:jc w:val="center"/>
              <w:rPr>
                <w:lang w:val="zh-CN"/>
              </w:rPr>
            </w:pPr>
            <w:r>
              <w:rPr>
                <w:rFonts w:hint="eastAsia"/>
                <w:lang w:val="zh-CN"/>
              </w:rPr>
              <w:t xml:space="preserve">序号 </w:t>
            </w:r>
          </w:p>
        </w:tc>
        <w:tc>
          <w:tcPr>
            <w:tcW w:w="1916" w:type="dxa"/>
            <w:vAlign w:val="center"/>
          </w:tcPr>
          <w:p>
            <w:pPr>
              <w:pStyle w:val="59"/>
              <w:snapToGrid w:val="0"/>
              <w:spacing w:line="360" w:lineRule="auto"/>
              <w:jc w:val="center"/>
              <w:rPr>
                <w:lang w:val="zh-CN"/>
              </w:rPr>
            </w:pPr>
            <w:r>
              <w:rPr>
                <w:rFonts w:hint="eastAsia"/>
                <w:lang w:val="zh-CN"/>
              </w:rPr>
              <w:t xml:space="preserve">应知事项 </w:t>
            </w:r>
          </w:p>
        </w:tc>
        <w:tc>
          <w:tcPr>
            <w:tcW w:w="6819" w:type="dxa"/>
            <w:vAlign w:val="center"/>
          </w:tcPr>
          <w:p>
            <w:pPr>
              <w:pStyle w:val="59"/>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4" w:hRule="exact"/>
          <w:jc w:val="center"/>
        </w:trPr>
        <w:tc>
          <w:tcPr>
            <w:tcW w:w="771" w:type="dxa"/>
            <w:vAlign w:val="center"/>
          </w:tcPr>
          <w:p>
            <w:pPr>
              <w:pStyle w:val="59"/>
              <w:snapToGrid w:val="0"/>
              <w:spacing w:line="360" w:lineRule="auto"/>
              <w:jc w:val="center"/>
            </w:pPr>
            <w:r>
              <w:rPr>
                <w:rFonts w:hint="eastAsia"/>
              </w:rPr>
              <w:t>1</w:t>
            </w:r>
          </w:p>
        </w:tc>
        <w:tc>
          <w:tcPr>
            <w:tcW w:w="1916" w:type="dxa"/>
            <w:vAlign w:val="center"/>
          </w:tcPr>
          <w:p>
            <w:pPr>
              <w:pStyle w:val="59"/>
              <w:snapToGrid w:val="0"/>
              <w:spacing w:line="360" w:lineRule="auto"/>
              <w:jc w:val="center"/>
              <w:rPr>
                <w:lang w:val="zh-CN"/>
              </w:rPr>
            </w:pPr>
            <w:r>
              <w:rPr>
                <w:rFonts w:hint="eastAsia"/>
                <w:lang w:val="zh-CN"/>
              </w:rPr>
              <w:t>采购人</w:t>
            </w:r>
          </w:p>
        </w:tc>
        <w:tc>
          <w:tcPr>
            <w:tcW w:w="6819" w:type="dxa"/>
            <w:vAlign w:val="center"/>
          </w:tcPr>
          <w:p>
            <w:pPr>
              <w:pStyle w:val="57"/>
              <w:snapToGrid w:val="0"/>
              <w:ind w:firstLine="228" w:firstLineChars="95"/>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59"/>
              <w:snapToGrid w:val="0"/>
              <w:spacing w:line="360" w:lineRule="auto"/>
              <w:ind w:firstLine="240" w:firstLineChars="100"/>
              <w:rPr>
                <w:lang w:val="zh-CN"/>
              </w:rPr>
            </w:pPr>
            <w:r>
              <w:rPr>
                <w:rFonts w:hint="eastAsia"/>
                <w:lang w:val="zh-CN"/>
              </w:rPr>
              <w:t>地址：</w:t>
            </w:r>
            <w:r>
              <w:rPr>
                <w:rFonts w:hint="eastAsia"/>
              </w:rPr>
              <w:t>四川成都郫</w:t>
            </w:r>
            <w:r>
              <w:rPr>
                <w:rFonts w:hint="eastAsia"/>
                <w:lang w:eastAsia="zh-CN"/>
              </w:rPr>
              <w:t>都区</w:t>
            </w:r>
            <w:r>
              <w:rPr>
                <w:rFonts w:hint="eastAsia"/>
              </w:rPr>
              <w:t>安德</w:t>
            </w:r>
            <w:r>
              <w:rPr>
                <w:rFonts w:hint="eastAsia"/>
                <w:lang w:eastAsia="zh-CN"/>
              </w:rPr>
              <w:t>街道</w:t>
            </w:r>
            <w:r>
              <w:rPr>
                <w:rFonts w:hint="eastAsia"/>
              </w:rPr>
              <w:t>彭温路399号</w:t>
            </w:r>
          </w:p>
          <w:p>
            <w:pPr>
              <w:pStyle w:val="59"/>
              <w:snapToGrid w:val="0"/>
              <w:spacing w:line="360" w:lineRule="auto"/>
              <w:ind w:firstLine="240" w:firstLineChars="100"/>
              <w:rPr>
                <w:lang w:val="zh-CN"/>
              </w:rPr>
            </w:pPr>
            <w:r>
              <w:rPr>
                <w:rFonts w:hint="eastAsia"/>
                <w:lang w:val="zh-CN"/>
              </w:rPr>
              <w:t>联 系 人：贺老师、桑老师</w:t>
            </w:r>
          </w:p>
          <w:p>
            <w:pPr>
              <w:pStyle w:val="59"/>
              <w:snapToGrid w:val="0"/>
              <w:spacing w:line="360" w:lineRule="auto"/>
              <w:ind w:firstLine="240" w:firstLineChars="100"/>
              <w:rPr>
                <w:rFonts w:hint="default" w:eastAsia="宋体"/>
                <w:lang w:val="en-US" w:eastAsia="zh-CN"/>
              </w:rPr>
            </w:pPr>
            <w:r>
              <w:rPr>
                <w:rFonts w:hint="eastAsia"/>
                <w:lang w:val="zh-CN"/>
              </w:rPr>
              <w:t>联系电话：</w:t>
            </w:r>
            <w:r>
              <w:rPr>
                <w:rFonts w:hint="eastAsia"/>
              </w:rPr>
              <w:t>028-68939</w:t>
            </w:r>
            <w:r>
              <w:rPr>
                <w:rFonts w:hint="eastAsia"/>
                <w:lang w:val="en-US" w:eastAsia="zh-CN"/>
              </w:rPr>
              <w:t>969、68939922</w:t>
            </w:r>
            <w:bookmarkStart w:id="98" w:name="_GoBack"/>
            <w:bookmarkEnd w:id="9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pPr>
            <w:r>
              <w:rPr>
                <w:rFonts w:hint="eastAsia"/>
              </w:rPr>
              <w:t>2</w:t>
            </w:r>
          </w:p>
        </w:tc>
        <w:tc>
          <w:tcPr>
            <w:tcW w:w="1916" w:type="dxa"/>
            <w:vAlign w:val="center"/>
          </w:tcPr>
          <w:p>
            <w:pPr>
              <w:pStyle w:val="59"/>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59"/>
              <w:snapToGrid w:val="0"/>
              <w:spacing w:line="360" w:lineRule="auto"/>
              <w:ind w:firstLine="240" w:firstLineChars="100"/>
              <w:rPr>
                <w:rFonts w:hint="default"/>
                <w:lang w:val="en-US" w:eastAsia="zh-CN"/>
              </w:rPr>
            </w:pPr>
            <w:r>
              <w:rPr>
                <w:rFonts w:hint="eastAsia"/>
                <w:lang w:val="en-US" w:eastAsia="zh-CN"/>
              </w:rPr>
              <w:t>2023年期刊采购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59"/>
              <w:snapToGrid w:val="0"/>
              <w:spacing w:line="360" w:lineRule="auto"/>
              <w:jc w:val="center"/>
            </w:pPr>
            <w:r>
              <w:rPr>
                <w:rFonts w:hint="eastAsia"/>
              </w:rPr>
              <w:t>3</w:t>
            </w:r>
          </w:p>
        </w:tc>
        <w:tc>
          <w:tcPr>
            <w:tcW w:w="1916" w:type="dxa"/>
            <w:vAlign w:val="center"/>
          </w:tcPr>
          <w:p>
            <w:pPr>
              <w:pStyle w:val="59"/>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59"/>
              <w:snapToGrid w:val="0"/>
              <w:spacing w:line="360" w:lineRule="auto"/>
              <w:rPr>
                <w:rFonts w:hint="default"/>
                <w:lang w:val="en-US" w:eastAsia="zh-CN"/>
              </w:rPr>
            </w:pPr>
            <w:r>
              <w:rPr>
                <w:rFonts w:hint="eastAsia"/>
                <w:lang w:val="en-US" w:eastAsia="zh-CN"/>
              </w:rPr>
              <w:t>TZY-ZB-2022025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pPr>
            <w:r>
              <w:rPr>
                <w:rFonts w:hint="eastAsia"/>
              </w:rPr>
              <w:t>4</w:t>
            </w:r>
          </w:p>
        </w:tc>
        <w:tc>
          <w:tcPr>
            <w:tcW w:w="1916" w:type="dxa"/>
            <w:vAlign w:val="center"/>
          </w:tcPr>
          <w:p>
            <w:pPr>
              <w:pStyle w:val="59"/>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59"/>
              <w:snapToGrid w:val="0"/>
              <w:spacing w:line="360" w:lineRule="auto"/>
              <w:ind w:firstLine="240" w:firstLineChars="100"/>
              <w:rPr>
                <w:lang w:val="zh-CN"/>
              </w:rPr>
            </w:pPr>
            <w:r>
              <w:rPr>
                <w:rFonts w:hint="eastAsia"/>
                <w:lang w:val="en-US" w:eastAsia="zh-CN"/>
              </w:rPr>
              <w:t>财政</w:t>
            </w:r>
            <w:r>
              <w:rPr>
                <w:rFonts w:hint="eastAsia"/>
                <w:lang w:val="zh-CN"/>
              </w:rPr>
              <w:t>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5</w:t>
            </w:r>
          </w:p>
        </w:tc>
        <w:tc>
          <w:tcPr>
            <w:tcW w:w="1916" w:type="dxa"/>
            <w:vAlign w:val="center"/>
          </w:tcPr>
          <w:p>
            <w:pPr>
              <w:pStyle w:val="59"/>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59"/>
              <w:snapToGrid w:val="0"/>
              <w:spacing w:line="360" w:lineRule="auto"/>
              <w:ind w:firstLine="240" w:firstLineChars="100"/>
              <w:rPr>
                <w:rFonts w:hint="default" w:eastAsia="宋体"/>
                <w:lang w:val="en-US" w:eastAsia="zh-CN"/>
              </w:rPr>
            </w:pPr>
            <w:r>
              <w:rPr>
                <w:rFonts w:hint="eastAsia"/>
                <w:lang w:val="en-US" w:eastAsia="zh-CN"/>
              </w:rPr>
              <w:t>13.65万元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59"/>
              <w:snapToGrid w:val="0"/>
              <w:spacing w:line="360" w:lineRule="auto"/>
              <w:jc w:val="center"/>
            </w:pPr>
            <w:r>
              <w:rPr>
                <w:rFonts w:hint="eastAsia"/>
              </w:rPr>
              <w:t>6</w:t>
            </w:r>
          </w:p>
        </w:tc>
        <w:tc>
          <w:tcPr>
            <w:tcW w:w="1916" w:type="dxa"/>
            <w:vAlign w:val="center"/>
          </w:tcPr>
          <w:p>
            <w:pPr>
              <w:pStyle w:val="59"/>
              <w:snapToGrid w:val="0"/>
              <w:spacing w:line="360" w:lineRule="auto"/>
              <w:jc w:val="center"/>
              <w:rPr>
                <w:lang w:val="zh-CN"/>
              </w:rPr>
            </w:pPr>
            <w:r>
              <w:rPr>
                <w:rFonts w:hint="eastAsia"/>
                <w:lang w:val="zh-CN"/>
              </w:rPr>
              <w:t>构成招标文件的其他文件</w:t>
            </w:r>
          </w:p>
        </w:tc>
        <w:tc>
          <w:tcPr>
            <w:tcW w:w="6819" w:type="dxa"/>
            <w:vAlign w:val="center"/>
          </w:tcPr>
          <w:p>
            <w:pPr>
              <w:pStyle w:val="59"/>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7</w:t>
            </w:r>
          </w:p>
        </w:tc>
        <w:tc>
          <w:tcPr>
            <w:tcW w:w="1916" w:type="dxa"/>
            <w:vAlign w:val="center"/>
          </w:tcPr>
          <w:p>
            <w:pPr>
              <w:pStyle w:val="59"/>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59"/>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8</w:t>
            </w:r>
          </w:p>
        </w:tc>
        <w:tc>
          <w:tcPr>
            <w:tcW w:w="1916" w:type="dxa"/>
            <w:vAlign w:val="center"/>
          </w:tcPr>
          <w:p>
            <w:pPr>
              <w:pStyle w:val="59"/>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59"/>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rPr>
                <w:lang w:val="zh-CN"/>
              </w:rPr>
            </w:pPr>
            <w:r>
              <w:rPr>
                <w:rFonts w:hint="eastAsia"/>
                <w:lang w:val="zh-CN"/>
              </w:rPr>
              <w:t>a.时间和地点详见 “投标邀请”;</w:t>
            </w:r>
          </w:p>
          <w:p>
            <w:pPr>
              <w:pStyle w:val="59"/>
              <w:snapToGrid w:val="0"/>
              <w:spacing w:line="360" w:lineRule="auto"/>
              <w:rPr>
                <w:lang w:val="zh-CN"/>
              </w:rPr>
            </w:pPr>
            <w:r>
              <w:rPr>
                <w:rFonts w:hint="eastAsia"/>
                <w:lang w:val="zh-CN"/>
              </w:rPr>
              <w:t>b.采购人在招标文件规定的时间和地点组织开标，投标人代表人执有效身份证参加。</w:t>
            </w:r>
          </w:p>
          <w:p>
            <w:pPr>
              <w:pStyle w:val="59"/>
              <w:snapToGrid w:val="0"/>
              <w:spacing w:line="360" w:lineRule="auto"/>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rPr>
                <w:highlight w:val="yellow"/>
                <w:lang w:val="zh-CN"/>
              </w:rPr>
            </w:pPr>
            <w:r>
              <w:rPr>
                <w:rFonts w:hint="eastAsia"/>
                <w:lang w:val="zh-CN"/>
              </w:rPr>
              <w:t>时间：</w:t>
            </w:r>
            <w:r>
              <w:rPr>
                <w:rFonts w:hint="eastAsia"/>
                <w:lang w:val="en-US" w:eastAsia="zh-CN"/>
              </w:rPr>
              <w:t xml:space="preserve">2022 </w:t>
            </w:r>
            <w:r>
              <w:rPr>
                <w:rFonts w:hint="eastAsia"/>
                <w:lang w:val="zh-CN"/>
              </w:rPr>
              <w:t>年</w:t>
            </w:r>
            <w:r>
              <w:rPr>
                <w:rFonts w:hint="eastAsia"/>
                <w:lang w:val="en-US" w:eastAsia="zh-CN"/>
              </w:rPr>
              <w:t xml:space="preserve"> 10</w:t>
            </w:r>
            <w:r>
              <w:rPr>
                <w:rFonts w:hint="eastAsia"/>
              </w:rPr>
              <w:t>月</w:t>
            </w:r>
            <w:r>
              <w:rPr>
                <w:rFonts w:hint="eastAsia"/>
                <w:lang w:val="en-US" w:eastAsia="zh-CN"/>
              </w:rPr>
              <w:t xml:space="preserve"> 14</w:t>
            </w:r>
            <w:r>
              <w:rPr>
                <w:rFonts w:hint="eastAsia"/>
                <w:lang w:val="zh-CN"/>
              </w:rPr>
              <w:t>日</w:t>
            </w:r>
            <w:r>
              <w:rPr>
                <w:rFonts w:hint="eastAsia"/>
                <w:lang w:val="en-US" w:eastAsia="zh-CN"/>
              </w:rPr>
              <w:t>10:00</w:t>
            </w:r>
            <w:r>
              <w:rPr>
                <w:rFonts w:hint="eastAsia"/>
                <w:lang w:val="zh-CN"/>
              </w:rPr>
              <w:t>（北京时间）</w:t>
            </w:r>
          </w:p>
          <w:p>
            <w:pPr>
              <w:pStyle w:val="59"/>
              <w:snapToGrid w:val="0"/>
              <w:spacing w:line="360" w:lineRule="auto"/>
              <w:ind w:firstLine="240" w:firstLineChars="100"/>
              <w:rPr>
                <w:rFonts w:hint="default" w:eastAsia="宋体"/>
                <w:lang w:val="en-US" w:eastAsia="zh-CN"/>
              </w:rPr>
            </w:pPr>
            <w:r>
              <w:rPr>
                <w:rFonts w:hint="eastAsia"/>
                <w:lang w:val="zh-CN"/>
              </w:rPr>
              <w:t>地点：</w:t>
            </w:r>
            <w:r>
              <w:rPr>
                <w:rFonts w:hint="eastAsia"/>
              </w:rPr>
              <w:t>四川成都郫</w:t>
            </w:r>
            <w:r>
              <w:rPr>
                <w:rFonts w:hint="eastAsia"/>
                <w:lang w:eastAsia="zh-CN"/>
              </w:rPr>
              <w:t>都区</w:t>
            </w:r>
            <w:r>
              <w:rPr>
                <w:rFonts w:hint="eastAsia"/>
              </w:rPr>
              <w:t>安德</w:t>
            </w:r>
            <w:r>
              <w:rPr>
                <w:rFonts w:hint="eastAsia"/>
                <w:lang w:eastAsia="zh-CN"/>
              </w:rPr>
              <w:t>街道</w:t>
            </w:r>
            <w:r>
              <w:rPr>
                <w:rFonts w:hint="eastAsia"/>
              </w:rPr>
              <w:t>彭温路399号</w:t>
            </w:r>
            <w:r>
              <w:rPr>
                <w:rFonts w:hint="eastAsia"/>
                <w:lang w:eastAsia="zh-CN"/>
              </w:rPr>
              <w:t>后勤基建办公区</w:t>
            </w:r>
            <w:r>
              <w:rPr>
                <w:rFonts w:hint="eastAsia"/>
                <w:lang w:val="en-US" w:eastAsia="zh-CN"/>
              </w:rPr>
              <w:t>2F开标室</w:t>
            </w:r>
          </w:p>
        </w:tc>
      </w:tr>
    </w:tbl>
    <w:p>
      <w:pPr>
        <w:snapToGrid w:val="0"/>
        <w:spacing w:line="360" w:lineRule="auto"/>
        <w:rPr>
          <w:rFonts w:hAnsi="宋体" w:cs="宋体"/>
          <w:bCs/>
          <w:sz w:val="30"/>
          <w:szCs w:val="30"/>
        </w:rPr>
      </w:pPr>
    </w:p>
    <w:p>
      <w:pPr>
        <w:pStyle w:val="5"/>
        <w:snapToGrid w:val="0"/>
        <w:spacing w:before="0" w:after="0" w:line="360" w:lineRule="auto"/>
        <w:jc w:val="center"/>
        <w:rPr>
          <w:rFonts w:ascii="宋体" w:hAnsi="宋体" w:eastAsia="宋体" w:cs="宋体"/>
          <w:sz w:val="30"/>
          <w:szCs w:val="30"/>
        </w:rPr>
      </w:pPr>
      <w:bookmarkStart w:id="17" w:name="_Toc89075875"/>
      <w:bookmarkStart w:id="18" w:name="_Toc183582209"/>
      <w:bookmarkStart w:id="19" w:name="_Toc183682346"/>
      <w:bookmarkStart w:id="20" w:name="_Toc77400779"/>
      <w:bookmarkStart w:id="21" w:name="_Toc217446038"/>
      <w:r>
        <w:rPr>
          <w:rFonts w:hint="eastAsia" w:ascii="宋体" w:hAnsi="宋体" w:eastAsia="宋体" w:cs="宋体"/>
          <w:sz w:val="30"/>
          <w:szCs w:val="30"/>
        </w:rPr>
        <w:t>二、招标文件</w:t>
      </w:r>
      <w:bookmarkEnd w:id="17"/>
      <w:bookmarkEnd w:id="18"/>
      <w:bookmarkEnd w:id="19"/>
      <w:bookmarkEnd w:id="20"/>
      <w:bookmarkEnd w:id="21"/>
    </w:p>
    <w:p>
      <w:pPr>
        <w:pStyle w:val="6"/>
        <w:snapToGrid w:val="0"/>
        <w:spacing w:before="0" w:after="0" w:line="360" w:lineRule="auto"/>
        <w:ind w:firstLine="161" w:firstLineChars="67"/>
        <w:rPr>
          <w:rFonts w:hAnsi="宋体" w:cs="宋体"/>
          <w:sz w:val="24"/>
          <w:szCs w:val="24"/>
        </w:rPr>
      </w:pPr>
      <w:bookmarkStart w:id="22" w:name="_Toc183682347"/>
      <w:bookmarkStart w:id="23" w:name="_Toc183582210"/>
      <w:bookmarkStart w:id="24" w:name="_Toc217446039"/>
      <w:r>
        <w:rPr>
          <w:rFonts w:hint="eastAsia" w:hAnsi="宋体" w:cs="宋体"/>
          <w:sz w:val="24"/>
          <w:szCs w:val="24"/>
        </w:rPr>
        <w:t>1．招标文件的构成</w:t>
      </w:r>
      <w:bookmarkEnd w:id="22"/>
      <w:bookmarkEnd w:id="23"/>
      <w:bookmarkEnd w:id="24"/>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6"/>
        <w:snapToGrid w:val="0"/>
        <w:spacing w:before="0" w:after="0" w:line="360" w:lineRule="auto"/>
        <w:ind w:firstLine="161" w:firstLineChars="67"/>
        <w:rPr>
          <w:rFonts w:hAnsi="宋体" w:cs="宋体"/>
          <w:sz w:val="24"/>
          <w:szCs w:val="24"/>
        </w:rPr>
      </w:pPr>
      <w:bookmarkStart w:id="25" w:name="_Toc183682348"/>
      <w:bookmarkStart w:id="26" w:name="_Toc183582211"/>
      <w:bookmarkStart w:id="27" w:name="_Toc217446040"/>
      <w:r>
        <w:rPr>
          <w:rFonts w:hint="eastAsia" w:hAnsi="宋体" w:cs="宋体"/>
          <w:sz w:val="24"/>
          <w:szCs w:val="24"/>
        </w:rPr>
        <w:t>2. 招标文件的澄清</w:t>
      </w:r>
      <w:bookmarkEnd w:id="25"/>
      <w:bookmarkEnd w:id="26"/>
      <w:r>
        <w:rPr>
          <w:rFonts w:hint="eastAsia" w:hAnsi="宋体" w:cs="宋体"/>
          <w:sz w:val="24"/>
          <w:szCs w:val="24"/>
        </w:rPr>
        <w:t>和修改</w:t>
      </w:r>
      <w:bookmarkEnd w:id="27"/>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left="3" w:leftChars="1" w:firstLine="240" w:firstLineChars="1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5"/>
        <w:snapToGrid w:val="0"/>
        <w:spacing w:before="0" w:after="0" w:line="360" w:lineRule="auto"/>
        <w:jc w:val="center"/>
        <w:rPr>
          <w:rFonts w:ascii="宋体" w:hAnsi="宋体" w:eastAsia="宋体" w:cs="宋体"/>
          <w:sz w:val="30"/>
          <w:szCs w:val="30"/>
        </w:rPr>
      </w:pPr>
      <w:bookmarkStart w:id="28" w:name="_Toc89075876"/>
      <w:bookmarkStart w:id="29" w:name="_Toc77400780"/>
      <w:bookmarkStart w:id="30" w:name="_Toc217446042"/>
      <w:bookmarkStart w:id="31" w:name="_Toc183582214"/>
      <w:bookmarkStart w:id="32" w:name="_Toc183682351"/>
      <w:r>
        <w:rPr>
          <w:rFonts w:hint="eastAsia" w:ascii="宋体" w:hAnsi="宋体" w:eastAsia="宋体" w:cs="宋体"/>
          <w:sz w:val="30"/>
          <w:szCs w:val="30"/>
        </w:rPr>
        <w:t>三、投标文件</w:t>
      </w:r>
      <w:bookmarkEnd w:id="28"/>
      <w:bookmarkEnd w:id="29"/>
      <w:bookmarkEnd w:id="30"/>
      <w:bookmarkEnd w:id="31"/>
      <w:bookmarkEnd w:id="32"/>
    </w:p>
    <w:p>
      <w:pPr>
        <w:pStyle w:val="6"/>
        <w:snapToGrid w:val="0"/>
        <w:spacing w:before="0" w:after="0" w:line="360" w:lineRule="auto"/>
        <w:ind w:firstLine="161" w:firstLineChars="67"/>
        <w:rPr>
          <w:rFonts w:hAnsi="宋体" w:cs="宋体"/>
          <w:sz w:val="24"/>
          <w:szCs w:val="24"/>
        </w:rPr>
      </w:pPr>
      <w:bookmarkStart w:id="33" w:name="_Toc183682352"/>
      <w:bookmarkStart w:id="34" w:name="_Toc217446043"/>
      <w:bookmarkStart w:id="35" w:name="_Toc183582215"/>
      <w:r>
        <w:rPr>
          <w:rFonts w:hint="eastAsia" w:hAnsi="宋体" w:cs="宋体"/>
          <w:sz w:val="24"/>
          <w:szCs w:val="24"/>
        </w:rPr>
        <w:t>3．投标文件的语言</w:t>
      </w:r>
      <w:bookmarkEnd w:id="33"/>
      <w:bookmarkEnd w:id="34"/>
      <w:bookmarkEnd w:id="35"/>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6"/>
        <w:snapToGrid w:val="0"/>
        <w:spacing w:before="0" w:after="0" w:line="360" w:lineRule="auto"/>
        <w:ind w:firstLine="161" w:firstLineChars="67"/>
        <w:rPr>
          <w:rFonts w:hAnsi="宋体" w:cs="宋体"/>
          <w:sz w:val="24"/>
          <w:szCs w:val="24"/>
        </w:rPr>
      </w:pPr>
      <w:bookmarkStart w:id="36" w:name="_Toc217446045"/>
      <w:r>
        <w:rPr>
          <w:rFonts w:hint="eastAsia" w:hAnsi="宋体" w:cs="宋体"/>
          <w:sz w:val="24"/>
          <w:szCs w:val="24"/>
        </w:rPr>
        <w:t>4. 投标货币</w:t>
      </w:r>
      <w:bookmarkEnd w:id="36"/>
    </w:p>
    <w:p>
      <w:pPr>
        <w:tabs>
          <w:tab w:val="left" w:pos="7665"/>
        </w:tabs>
        <w:snapToGrid w:val="0"/>
        <w:spacing w:line="360" w:lineRule="auto"/>
        <w:ind w:hanging="118"/>
        <w:rPr>
          <w:rFonts w:hAnsi="宋体" w:cs="宋体"/>
          <w:sz w:val="24"/>
          <w:szCs w:val="24"/>
        </w:rPr>
      </w:pPr>
      <w:r>
        <w:rPr>
          <w:rFonts w:hint="eastAsia" w:hAnsi="宋体" w:cs="宋体"/>
          <w:sz w:val="24"/>
          <w:szCs w:val="24"/>
        </w:rPr>
        <w:t>本次招标项目的投标均以人民币报价。</w:t>
      </w:r>
    </w:p>
    <w:p>
      <w:pPr>
        <w:pStyle w:val="6"/>
        <w:snapToGrid w:val="0"/>
        <w:spacing w:before="0" w:after="0" w:line="360" w:lineRule="auto"/>
        <w:ind w:firstLine="161" w:firstLineChars="67"/>
        <w:rPr>
          <w:rFonts w:hAnsi="宋体" w:cs="宋体"/>
          <w:sz w:val="24"/>
          <w:szCs w:val="24"/>
        </w:rPr>
      </w:pPr>
      <w:bookmarkStart w:id="37" w:name="_Toc217446047"/>
      <w:r>
        <w:rPr>
          <w:rFonts w:hint="eastAsia" w:hAnsi="宋体" w:cs="宋体"/>
          <w:sz w:val="24"/>
          <w:szCs w:val="24"/>
        </w:rPr>
        <w:t>5. 知识产权</w:t>
      </w:r>
      <w:bookmarkEnd w:id="37"/>
    </w:p>
    <w:p>
      <w:pPr>
        <w:pStyle w:val="10"/>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0"/>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.2 采购人享有本项目实施过程中产生的知识成果及知识产权。</w:t>
      </w:r>
    </w:p>
    <w:p>
      <w:pPr>
        <w:pStyle w:val="6"/>
        <w:snapToGrid w:val="0"/>
        <w:spacing w:before="0" w:after="0" w:line="360" w:lineRule="auto"/>
        <w:ind w:firstLine="161" w:firstLineChars="67"/>
        <w:rPr>
          <w:rFonts w:hAnsi="宋体" w:cs="宋体"/>
          <w:sz w:val="24"/>
          <w:szCs w:val="24"/>
        </w:rPr>
      </w:pPr>
      <w:bookmarkStart w:id="38" w:name="_Toc183582217"/>
      <w:bookmarkStart w:id="39" w:name="_Toc183682354"/>
      <w:bookmarkStart w:id="40" w:name="_Toc217446048"/>
      <w:bookmarkStart w:id="41" w:name="_Toc358883246"/>
      <w:bookmarkStart w:id="42" w:name="_Toc217446093"/>
      <w:r>
        <w:rPr>
          <w:rFonts w:hint="eastAsia" w:hAnsi="宋体" w:cs="宋体"/>
          <w:sz w:val="24"/>
          <w:szCs w:val="24"/>
        </w:rPr>
        <w:t>6．投标文件的组成</w:t>
      </w:r>
      <w:bookmarkEnd w:id="38"/>
      <w:bookmarkEnd w:id="39"/>
      <w:bookmarkEnd w:id="40"/>
      <w:bookmarkStart w:id="43" w:name="_Toc217446049"/>
      <w:bookmarkStart w:id="44" w:name="_Toc183682355"/>
      <w:bookmarkStart w:id="45" w:name="_Toc183582218"/>
      <w:r>
        <w:rPr>
          <w:rFonts w:hint="eastAsia" w:hAnsi="宋体" w:cs="宋体"/>
          <w:sz w:val="24"/>
          <w:szCs w:val="24"/>
        </w:rPr>
        <w:t>。</w:t>
      </w:r>
    </w:p>
    <w:p>
      <w:pPr>
        <w:pStyle w:val="6"/>
        <w:snapToGrid w:val="0"/>
        <w:spacing w:before="0" w:after="0" w:line="360" w:lineRule="auto"/>
        <w:ind w:firstLine="640" w:firstLineChars="267"/>
        <w:rPr>
          <w:rFonts w:hAnsi="宋体" w:cs="宋体"/>
          <w:sz w:val="24"/>
          <w:szCs w:val="24"/>
        </w:rPr>
      </w:pPr>
      <w:r>
        <w:rPr>
          <w:rFonts w:hint="eastAsia" w:hAnsi="宋体" w:cs="宋体"/>
          <w:b w:val="0"/>
          <w:kern w:val="2"/>
          <w:sz w:val="24"/>
          <w:szCs w:val="24"/>
        </w:rPr>
        <w:t>投标文件包括：</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（1） 投标函</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投标报价表</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商务应答表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投标人近三年类似项目业绩一览表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7.投标文件的说明。</w:t>
      </w:r>
    </w:p>
    <w:p>
      <w:pPr>
        <w:pStyle w:val="10"/>
        <w:snapToGrid w:val="0"/>
        <w:spacing w:line="360" w:lineRule="auto"/>
        <w:ind w:left="120" w:firstLine="240" w:firstLineChars="100"/>
        <w:rPr>
          <w:rFonts w:ascii="宋体" w:hAnsi="宋体" w:cs="宋体"/>
          <w:sz w:val="24"/>
          <w:szCs w:val="24"/>
        </w:rPr>
      </w:pPr>
      <w:r>
        <w:rPr>
          <w:rFonts w:hint="eastAsia" w:ascii="宋体" w:hAnsi="宋体" w:cs="宋体"/>
          <w:sz w:val="24"/>
          <w:szCs w:val="24"/>
        </w:rPr>
        <w:t>7.1报价部分。投标人按照招标文件要求填写“投标报价表”及“分项报价明细表”。 本次招标报价要求：</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10"/>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（2）投标人每种货物只允许有一个报价，并且在合同履行过程中是固定不变的，任何有选择或可调整的报价将不予接受，并按无效投标处理。</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7.2 技术部分。投标人按照招标文件要求做出的技术应答，主要是针对招标项目的技术指标、参数和技术要求做出的实质性响应和满足。投标人的技术应答应包括下列内容：</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（1）投标产品的品牌、型号、配置；</w:t>
      </w:r>
    </w:p>
    <w:p>
      <w:pPr>
        <w:pStyle w:val="10"/>
        <w:snapToGrid w:val="0"/>
        <w:spacing w:line="360" w:lineRule="auto"/>
        <w:ind w:firstLine="0"/>
        <w:rPr>
          <w:rFonts w:ascii="宋体" w:hAnsi="宋体" w:cs="宋体"/>
          <w:sz w:val="24"/>
          <w:szCs w:val="24"/>
        </w:rPr>
      </w:pPr>
      <w:r>
        <w:rPr>
          <w:rFonts w:hint="eastAsia" w:ascii="宋体" w:hAnsi="宋体" w:cs="宋体"/>
          <w:sz w:val="24"/>
          <w:szCs w:val="24"/>
        </w:rPr>
        <w:t>（2）投标产品本身的详细的技术指标和参数（尽可能提供检测报告、产品使用说明书、用户手册等材料予以佐证）；</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（3）技术方案、项目实施方案；</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（4）投标产品技术参数表。</w:t>
      </w:r>
    </w:p>
    <w:p>
      <w:pPr>
        <w:snapToGrid w:val="0"/>
        <w:spacing w:line="360" w:lineRule="auto"/>
        <w:ind w:firstLine="400" w:firstLineChars="167"/>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6"/>
        <w:tabs>
          <w:tab w:val="left" w:pos="3480"/>
        </w:tabs>
        <w:snapToGrid w:val="0"/>
        <w:spacing w:before="0" w:after="0" w:line="360" w:lineRule="auto"/>
        <w:ind w:firstLine="120" w:firstLineChars="50"/>
        <w:rPr>
          <w:rFonts w:hAnsi="宋体" w:cs="宋体"/>
          <w:sz w:val="24"/>
          <w:szCs w:val="24"/>
        </w:rPr>
      </w:pPr>
      <w:r>
        <w:rPr>
          <w:rFonts w:hint="eastAsia" w:hAnsi="宋体" w:cs="宋体"/>
          <w:sz w:val="24"/>
          <w:szCs w:val="24"/>
        </w:rPr>
        <w:t>8．投标文件格式</w:t>
      </w:r>
      <w:bookmarkEnd w:id="43"/>
      <w:bookmarkEnd w:id="44"/>
      <w:bookmarkEnd w:id="45"/>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6"/>
        <w:snapToGrid w:val="0"/>
        <w:spacing w:before="0" w:after="0" w:line="360" w:lineRule="auto"/>
        <w:ind w:firstLine="161" w:firstLineChars="67"/>
        <w:rPr>
          <w:rFonts w:hAnsi="宋体" w:cs="宋体"/>
          <w:sz w:val="24"/>
          <w:szCs w:val="24"/>
        </w:rPr>
      </w:pPr>
      <w:bookmarkStart w:id="46" w:name="_Toc183582224"/>
      <w:bookmarkStart w:id="47" w:name="_Toc183682361"/>
      <w:bookmarkStart w:id="48" w:name="_Toc217446051"/>
      <w:r>
        <w:rPr>
          <w:rFonts w:hint="eastAsia" w:hAnsi="宋体" w:cs="宋体"/>
          <w:sz w:val="24"/>
          <w:szCs w:val="24"/>
        </w:rPr>
        <w:t>9．投标有效期</w:t>
      </w:r>
      <w:bookmarkEnd w:id="46"/>
      <w:bookmarkEnd w:id="47"/>
      <w:bookmarkEnd w:id="48"/>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6"/>
        <w:snapToGrid w:val="0"/>
        <w:spacing w:before="0" w:after="0" w:line="360" w:lineRule="auto"/>
        <w:ind w:firstLine="161" w:firstLineChars="67"/>
        <w:rPr>
          <w:rFonts w:hAnsi="宋体" w:cs="宋体"/>
          <w:sz w:val="24"/>
          <w:szCs w:val="24"/>
        </w:rPr>
      </w:pPr>
      <w:bookmarkStart w:id="49" w:name="_Toc89075877"/>
      <w:bookmarkStart w:id="50" w:name="_Toc183682363"/>
      <w:bookmarkStart w:id="51" w:name="_Toc183582226"/>
      <w:bookmarkStart w:id="52" w:name="_Toc77400781"/>
      <w:bookmarkStart w:id="53" w:name="_Toc217446053"/>
      <w:r>
        <w:rPr>
          <w:rFonts w:hint="eastAsia" w:hAnsi="宋体" w:cs="宋体"/>
          <w:sz w:val="24"/>
          <w:szCs w:val="24"/>
        </w:rPr>
        <w:t>10. 投标文件的密封和标</w:t>
      </w:r>
      <w:bookmarkEnd w:id="49"/>
      <w:bookmarkEnd w:id="50"/>
      <w:bookmarkEnd w:id="51"/>
      <w:bookmarkEnd w:id="52"/>
      <w:r>
        <w:rPr>
          <w:rFonts w:hint="eastAsia" w:hAnsi="宋体" w:cs="宋体"/>
          <w:sz w:val="24"/>
          <w:szCs w:val="24"/>
        </w:rPr>
        <w:t>注</w:t>
      </w:r>
      <w:bookmarkEnd w:id="53"/>
    </w:p>
    <w:p>
      <w:pPr>
        <w:tabs>
          <w:tab w:val="left" w:pos="7665"/>
        </w:tabs>
        <w:snapToGrid w:val="0"/>
        <w:spacing w:line="360" w:lineRule="auto"/>
        <w:ind w:hanging="1"/>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6"/>
        <w:snapToGrid w:val="0"/>
        <w:spacing w:before="0" w:after="0" w:line="360" w:lineRule="auto"/>
        <w:ind w:firstLine="161" w:firstLineChars="67"/>
        <w:rPr>
          <w:rFonts w:hAnsi="宋体" w:cs="宋体"/>
          <w:sz w:val="24"/>
          <w:szCs w:val="24"/>
        </w:rPr>
      </w:pPr>
      <w:bookmarkStart w:id="54" w:name="_Toc183582227"/>
      <w:bookmarkStart w:id="55" w:name="_Toc183682364"/>
      <w:bookmarkStart w:id="56" w:name="_Toc217446054"/>
      <w:r>
        <w:rPr>
          <w:rFonts w:hint="eastAsia" w:hAnsi="宋体" w:cs="宋体"/>
          <w:sz w:val="24"/>
          <w:szCs w:val="24"/>
        </w:rPr>
        <w:t>11．投标文件的</w:t>
      </w:r>
      <w:bookmarkEnd w:id="54"/>
      <w:bookmarkEnd w:id="55"/>
      <w:r>
        <w:rPr>
          <w:rFonts w:hint="eastAsia" w:hAnsi="宋体" w:cs="宋体"/>
          <w:sz w:val="24"/>
          <w:szCs w:val="24"/>
        </w:rPr>
        <w:t>递交</w:t>
      </w:r>
      <w:bookmarkEnd w:id="56"/>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6"/>
        <w:snapToGrid w:val="0"/>
        <w:spacing w:before="0" w:after="0" w:line="360" w:lineRule="auto"/>
        <w:ind w:firstLine="161" w:firstLineChars="67"/>
        <w:rPr>
          <w:rFonts w:hAnsi="宋体" w:cs="宋体"/>
          <w:sz w:val="24"/>
          <w:szCs w:val="24"/>
        </w:rPr>
      </w:pPr>
      <w:bookmarkStart w:id="57" w:name="_Toc183582228"/>
      <w:bookmarkStart w:id="58" w:name="_Toc183682365"/>
      <w:bookmarkStart w:id="59" w:name="_Toc217446055"/>
      <w:r>
        <w:rPr>
          <w:rFonts w:hint="eastAsia" w:hAnsi="宋体" w:cs="宋体"/>
          <w:sz w:val="24"/>
          <w:szCs w:val="24"/>
        </w:rPr>
        <w:t>12．投标文件的修改和撤</w:t>
      </w:r>
      <w:bookmarkEnd w:id="57"/>
      <w:bookmarkEnd w:id="58"/>
      <w:r>
        <w:rPr>
          <w:rFonts w:hint="eastAsia" w:hAnsi="宋体" w:cs="宋体"/>
          <w:sz w:val="24"/>
          <w:szCs w:val="24"/>
        </w:rPr>
        <w:t>回</w:t>
      </w:r>
      <w:bookmarkEnd w:id="59"/>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60" w:name="_Toc77400782"/>
      <w:bookmarkStart w:id="61" w:name="_Toc89075878"/>
      <w:bookmarkStart w:id="62" w:name="_Toc183682368"/>
      <w:bookmarkStart w:id="63" w:name="_Toc183582231"/>
      <w:bookmarkStart w:id="64" w:name="_Toc217446056"/>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60"/>
      <w:bookmarkEnd w:id="61"/>
      <w:bookmarkEnd w:id="62"/>
      <w:bookmarkEnd w:id="63"/>
      <w:bookmarkEnd w:id="64"/>
      <w:bookmarkStart w:id="65" w:name="_Toc183582232"/>
      <w:bookmarkStart w:id="66" w:name="_Toc183682369"/>
      <w:bookmarkStart w:id="67" w:name="_Toc217446057"/>
    </w:p>
    <w:p>
      <w:pPr>
        <w:tabs>
          <w:tab w:val="left" w:pos="1095"/>
        </w:tabs>
        <w:snapToGrid w:val="0"/>
        <w:spacing w:line="360" w:lineRule="auto"/>
        <w:rPr>
          <w:rFonts w:hAnsi="宋体" w:cs="宋体"/>
          <w:b/>
          <w:sz w:val="24"/>
          <w:szCs w:val="24"/>
        </w:rPr>
      </w:pPr>
      <w:r>
        <w:rPr>
          <w:rFonts w:hint="eastAsia" w:hAnsi="宋体" w:cs="宋体"/>
          <w:b/>
          <w:sz w:val="24"/>
          <w:szCs w:val="24"/>
        </w:rPr>
        <w:t>13．开标</w:t>
      </w:r>
      <w:bookmarkEnd w:id="65"/>
      <w:bookmarkEnd w:id="66"/>
      <w:bookmarkEnd w:id="67"/>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14．评标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6"/>
        <w:snapToGrid w:val="0"/>
        <w:spacing w:before="0" w:after="0" w:line="360" w:lineRule="auto"/>
        <w:ind w:firstLine="161" w:firstLineChars="67"/>
        <w:rPr>
          <w:rFonts w:hAnsi="宋体" w:cs="宋体"/>
          <w:sz w:val="24"/>
          <w:szCs w:val="24"/>
        </w:rPr>
      </w:pPr>
      <w:bookmarkStart w:id="68" w:name="_Toc183682375"/>
      <w:bookmarkStart w:id="69" w:name="_Toc183582238"/>
      <w:bookmarkStart w:id="70" w:name="_Toc217446063"/>
      <w:r>
        <w:rPr>
          <w:rFonts w:hint="eastAsia" w:hAnsi="宋体" w:cs="宋体"/>
          <w:sz w:val="24"/>
          <w:szCs w:val="24"/>
        </w:rPr>
        <w:t>15．中标通知</w:t>
      </w:r>
      <w:bookmarkEnd w:id="68"/>
      <w:bookmarkEnd w:id="69"/>
      <w:r>
        <w:rPr>
          <w:rFonts w:hint="eastAsia" w:hAnsi="宋体" w:cs="宋体"/>
          <w:sz w:val="24"/>
          <w:szCs w:val="24"/>
        </w:rPr>
        <w:t>书</w:t>
      </w:r>
      <w:bookmarkEnd w:id="70"/>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71" w:name="_Toc217446064"/>
      <w:bookmarkStart w:id="72" w:name="_Toc183582240"/>
      <w:bookmarkStart w:id="73" w:name="_Toc183682377"/>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71"/>
    </w:p>
    <w:p>
      <w:pPr>
        <w:pStyle w:val="5"/>
        <w:snapToGrid w:val="0"/>
        <w:spacing w:before="0" w:after="0" w:line="360" w:lineRule="auto"/>
        <w:ind w:firstLine="161" w:firstLineChars="67"/>
        <w:rPr>
          <w:rFonts w:ascii="宋体" w:hAnsi="宋体" w:eastAsia="宋体" w:cs="宋体"/>
          <w:sz w:val="24"/>
          <w:szCs w:val="24"/>
        </w:rPr>
      </w:pPr>
      <w:bookmarkStart w:id="74" w:name="_Toc217446065"/>
      <w:r>
        <w:rPr>
          <w:rFonts w:hint="eastAsia" w:ascii="宋体" w:hAnsi="宋体" w:eastAsia="宋体" w:cs="宋体"/>
          <w:sz w:val="24"/>
          <w:szCs w:val="24"/>
        </w:rPr>
        <w:t>16. 签订合同</w:t>
      </w:r>
      <w:bookmarkEnd w:id="74"/>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5"/>
        <w:snapToGrid w:val="0"/>
        <w:spacing w:before="0" w:after="0" w:line="360" w:lineRule="auto"/>
        <w:ind w:firstLine="161" w:firstLineChars="67"/>
        <w:rPr>
          <w:rFonts w:ascii="宋体" w:hAnsi="宋体" w:eastAsia="宋体" w:cs="宋体"/>
          <w:sz w:val="24"/>
          <w:szCs w:val="24"/>
        </w:rPr>
      </w:pPr>
      <w:bookmarkStart w:id="75" w:name="_Toc217446069"/>
      <w:r>
        <w:rPr>
          <w:rFonts w:hint="eastAsia" w:ascii="宋体" w:hAnsi="宋体" w:eastAsia="宋体" w:cs="宋体"/>
          <w:sz w:val="24"/>
          <w:szCs w:val="24"/>
        </w:rPr>
        <w:t>17. 履行合同</w:t>
      </w:r>
      <w:bookmarkEnd w:id="75"/>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5"/>
        <w:snapToGrid w:val="0"/>
        <w:spacing w:before="0" w:after="0" w:line="360" w:lineRule="auto"/>
        <w:ind w:firstLine="161" w:firstLineChars="67"/>
        <w:rPr>
          <w:rFonts w:ascii="宋体" w:hAnsi="宋体" w:eastAsia="宋体" w:cs="宋体"/>
          <w:sz w:val="24"/>
          <w:szCs w:val="24"/>
        </w:rPr>
      </w:pPr>
      <w:bookmarkStart w:id="76" w:name="_Toc217446070"/>
      <w:r>
        <w:rPr>
          <w:rFonts w:hint="eastAsia" w:ascii="宋体" w:hAnsi="宋体" w:eastAsia="宋体" w:cs="宋体"/>
          <w:sz w:val="24"/>
          <w:szCs w:val="24"/>
        </w:rPr>
        <w:t>18. 验收</w:t>
      </w:r>
      <w:bookmarkEnd w:id="76"/>
    </w:p>
    <w:bookmarkEnd w:id="72"/>
    <w:bookmarkEnd w:id="73"/>
    <w:p>
      <w:pPr>
        <w:tabs>
          <w:tab w:val="left" w:pos="7665"/>
        </w:tabs>
        <w:snapToGrid w:val="0"/>
        <w:spacing w:line="360" w:lineRule="auto"/>
        <w:ind w:firstLine="480" w:firstLineChars="200"/>
        <w:rPr>
          <w:rFonts w:hAnsi="宋体" w:cs="宋体"/>
          <w:sz w:val="24"/>
          <w:szCs w:val="24"/>
        </w:rPr>
      </w:pPr>
      <w:bookmarkStart w:id="77" w:name="_Toc217446071"/>
      <w:bookmarkStart w:id="78" w:name="_Toc217446074"/>
      <w:bookmarkStart w:id="79" w:name="_Toc183582243"/>
      <w:bookmarkStart w:id="80" w:name="_Toc183682380"/>
      <w:r>
        <w:rPr>
          <w:rFonts w:hint="eastAsia" w:hAnsi="宋体" w:cs="宋体"/>
          <w:sz w:val="24"/>
          <w:szCs w:val="24"/>
        </w:rPr>
        <w:t xml:space="preserve"> 中标人与采购人按照招标项目技术、商务及其他要求（参见第四章）进行验收，采购人也可依据合同自行组织验收。</w:t>
      </w:r>
    </w:p>
    <w:bookmarkEnd w:id="77"/>
    <w:p>
      <w:pPr>
        <w:pStyle w:val="5"/>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78"/>
    </w:p>
    <w:p>
      <w:pPr>
        <w:pStyle w:val="5"/>
        <w:snapToGrid w:val="0"/>
        <w:spacing w:before="0" w:after="0" w:line="360" w:lineRule="auto"/>
        <w:ind w:firstLine="161" w:firstLineChars="67"/>
        <w:rPr>
          <w:rFonts w:ascii="宋体" w:hAnsi="宋体" w:eastAsia="宋体" w:cs="宋体"/>
          <w:sz w:val="24"/>
          <w:szCs w:val="24"/>
        </w:rPr>
      </w:pPr>
      <w:bookmarkStart w:id="81" w:name="_Toc217446075"/>
      <w:r>
        <w:rPr>
          <w:rFonts w:hint="eastAsia" w:ascii="宋体" w:hAnsi="宋体" w:eastAsia="宋体" w:cs="宋体"/>
          <w:sz w:val="24"/>
          <w:szCs w:val="24"/>
        </w:rPr>
        <w:t>19. 投标人不得具有的情形</w:t>
      </w:r>
      <w:bookmarkEnd w:id="81"/>
    </w:p>
    <w:p>
      <w:pPr>
        <w:pStyle w:val="7"/>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7"/>
        <w:snapToGrid w:val="0"/>
        <w:spacing w:line="360" w:lineRule="auto"/>
        <w:ind w:firstLine="160" w:firstLineChars="67"/>
        <w:rPr>
          <w:rFonts w:hAnsi="宋体" w:cs="宋体"/>
          <w:sz w:val="24"/>
        </w:rPr>
      </w:pPr>
      <w:r>
        <w:rPr>
          <w:rFonts w:hint="eastAsia" w:hAnsi="宋体" w:cs="宋体"/>
          <w:sz w:val="24"/>
        </w:rPr>
        <w:t>（1）提供虚假材料谋取中标；</w:t>
      </w:r>
    </w:p>
    <w:p>
      <w:pPr>
        <w:pStyle w:val="7"/>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7"/>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7"/>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7"/>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7"/>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7"/>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2"/>
        <w:snapToGrid w:val="0"/>
        <w:spacing w:line="360" w:lineRule="auto"/>
        <w:ind w:left="630" w:firstLine="3162" w:firstLineChars="1050"/>
        <w:rPr>
          <w:rFonts w:hAnsi="宋体" w:cs="宋体"/>
          <w:b/>
          <w:bCs/>
          <w:sz w:val="30"/>
          <w:szCs w:val="30"/>
        </w:rPr>
      </w:pPr>
      <w:bookmarkStart w:id="82" w:name="_Toc217446078"/>
      <w:r>
        <w:rPr>
          <w:rFonts w:hint="eastAsia" w:hAnsi="宋体" w:cs="宋体"/>
          <w:b/>
          <w:bCs/>
          <w:sz w:val="30"/>
          <w:szCs w:val="30"/>
        </w:rPr>
        <w:t>七、质疑</w:t>
      </w:r>
      <w:bookmarkEnd w:id="82"/>
      <w:bookmarkStart w:id="83" w:name="_Toc217446079"/>
    </w:p>
    <w:bookmarkEnd w:id="83"/>
    <w:p>
      <w:pPr>
        <w:pStyle w:val="5"/>
        <w:snapToGrid w:val="0"/>
        <w:spacing w:before="0" w:after="0" w:line="360" w:lineRule="auto"/>
        <w:ind w:left="1375" w:leftChars="50" w:hanging="1205" w:hangingChars="500"/>
        <w:rPr>
          <w:rFonts w:ascii="宋体" w:hAnsi="宋体" w:eastAsia="宋体" w:cs="宋体"/>
          <w:sz w:val="24"/>
          <w:szCs w:val="24"/>
        </w:rPr>
      </w:pPr>
      <w:r>
        <w:rPr>
          <w:rFonts w:hint="eastAsia" w:ascii="宋体" w:hAnsi="宋体" w:eastAsia="宋体" w:cs="宋体"/>
          <w:sz w:val="24"/>
          <w:szCs w:val="24"/>
        </w:rPr>
        <w:t>20.质疑。</w:t>
      </w:r>
      <w:bookmarkEnd w:id="79"/>
      <w:bookmarkEnd w:id="80"/>
    </w:p>
    <w:p>
      <w:pPr>
        <w:pStyle w:val="7"/>
        <w:snapToGrid w:val="0"/>
        <w:spacing w:line="360" w:lineRule="auto"/>
        <w:ind w:firstLine="160" w:firstLineChars="67"/>
        <w:rPr>
          <w:rFonts w:hAnsi="宋体" w:cs="宋体"/>
          <w:sz w:val="24"/>
        </w:rPr>
      </w:pPr>
      <w:r>
        <w:rPr>
          <w:rFonts w:hint="eastAsia" w:hAnsi="宋体" w:cs="宋体"/>
          <w:sz w:val="24"/>
        </w:rPr>
        <w:t>在招标投标过程中，如有任何质疑，可向四川铁道职业学院纪检监察室询问，联系电话：028-6893987</w:t>
      </w:r>
      <w:r>
        <w:rPr>
          <w:rFonts w:hint="eastAsia" w:hAnsi="宋体" w:cs="宋体"/>
          <w:sz w:val="24"/>
          <w:lang w:val="en-US" w:eastAsia="zh-CN"/>
        </w:rPr>
        <w:t>5</w:t>
      </w:r>
      <w:r>
        <w:rPr>
          <w:rFonts w:hint="eastAsia" w:hAnsi="宋体" w:cs="宋体"/>
          <w:sz w:val="24"/>
        </w:rPr>
        <w:t>。</w:t>
      </w:r>
      <w:bookmarkStart w:id="84" w:name="_Toc358883243"/>
    </w:p>
    <w:p>
      <w:pPr>
        <w:pStyle w:val="12"/>
        <w:snapToGrid w:val="0"/>
        <w:spacing w:line="360" w:lineRule="auto"/>
        <w:ind w:firstLine="480" w:firstLineChars="200"/>
        <w:rPr>
          <w:rFonts w:hAnsi="宋体" w:cs="宋体"/>
          <w:sz w:val="24"/>
        </w:rPr>
      </w:pPr>
    </w:p>
    <w:p>
      <w:pPr>
        <w:pStyle w:val="12"/>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rPr>
          <w:rFonts w:ascii="Times New Roman"/>
        </w:rPr>
      </w:pPr>
    </w:p>
    <w:p>
      <w:pPr>
        <w:pStyle w:val="4"/>
        <w:snapToGrid w:val="0"/>
        <w:spacing w:before="0" w:after="0" w:line="360" w:lineRule="auto"/>
        <w:jc w:val="center"/>
        <w:rPr>
          <w:rFonts w:hAnsi="宋体" w:cs="宋体"/>
          <w:sz w:val="30"/>
          <w:szCs w:val="30"/>
        </w:rPr>
      </w:pPr>
      <w:r>
        <w:rPr>
          <w:rFonts w:hint="eastAsia" w:hAnsi="宋体" w:cs="宋体"/>
          <w:sz w:val="30"/>
          <w:szCs w:val="30"/>
        </w:rPr>
        <w:t>第三章 投标文件格式</w:t>
      </w:r>
      <w:bookmarkEnd w:id="84"/>
    </w:p>
    <w:p>
      <w:pPr>
        <w:pStyle w:val="5"/>
        <w:snapToGrid w:val="0"/>
        <w:spacing w:before="0" w:after="0" w:line="360" w:lineRule="auto"/>
        <w:jc w:val="center"/>
        <w:rPr>
          <w:rFonts w:ascii="宋体" w:hAnsi="宋体" w:eastAsia="宋体" w:cs="宋体"/>
        </w:rPr>
      </w:pPr>
      <w:bookmarkStart w:id="85" w:name="_Toc217446082"/>
      <w:r>
        <w:rPr>
          <w:rFonts w:hint="eastAsia" w:ascii="宋体" w:hAnsi="宋体" w:eastAsia="宋体" w:cs="宋体"/>
        </w:rPr>
        <w:t>一、投 标 函</w:t>
      </w:r>
      <w:bookmarkEnd w:id="85"/>
    </w:p>
    <w:p>
      <w:pPr>
        <w:pStyle w:val="12"/>
        <w:snapToGrid w:val="0"/>
        <w:spacing w:line="348" w:lineRule="auto"/>
        <w:ind w:hanging="1"/>
        <w:jc w:val="left"/>
        <w:rPr>
          <w:rFonts w:hAnsi="宋体" w:cs="宋体"/>
          <w:bCs/>
          <w:sz w:val="24"/>
          <w:szCs w:val="24"/>
        </w:rPr>
      </w:pPr>
      <w:bookmarkStart w:id="86" w:name="_Toc217446083"/>
      <w:r>
        <w:rPr>
          <w:rFonts w:hint="eastAsia" w:hAnsi="宋体" w:cs="宋体"/>
          <w:bCs/>
          <w:sz w:val="24"/>
          <w:szCs w:val="24"/>
        </w:rPr>
        <w:t>__________________（采购人名称）：</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2"/>
        <w:numPr>
          <w:ilvl w:val="0"/>
          <w:numId w:val="5"/>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2"/>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rPr>
          <w:rFonts w:ascii="Times New Roman"/>
        </w:rPr>
      </w:pPr>
    </w:p>
    <w:p>
      <w:pPr>
        <w:rPr>
          <w:rFonts w:ascii="Times New Roman"/>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86"/>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87" w:name="_Toc256175382"/>
      <w:bookmarkStart w:id="88" w:name="_Toc263768864"/>
      <w:bookmarkStart w:id="89" w:name="_Toc297204985"/>
      <w:bookmarkStart w:id="90" w:name="_Toc263753600"/>
      <w:bookmarkStart w:id="91" w:name="_Toc237145385"/>
      <w:bookmarkStart w:id="92" w:name="_Toc250041691"/>
      <w:bookmarkStart w:id="93" w:name="_Toc217446085"/>
    </w:p>
    <w:bookmarkEnd w:id="87"/>
    <w:bookmarkEnd w:id="88"/>
    <w:bookmarkEnd w:id="89"/>
    <w:bookmarkEnd w:id="90"/>
    <w:bookmarkEnd w:id="91"/>
    <w:bookmarkEnd w:id="92"/>
    <w:p>
      <w:pPr>
        <w:adjustRightInd w:val="0"/>
        <w:snapToGrid w:val="0"/>
        <w:spacing w:line="360" w:lineRule="auto"/>
        <w:jc w:val="left"/>
        <w:rPr>
          <w:rFonts w:hAnsi="宋体" w:cs="宋体"/>
          <w:bCs/>
          <w:spacing w:val="8"/>
          <w:sz w:val="24"/>
          <w:szCs w:val="24"/>
        </w:rPr>
        <w:sectPr>
          <w:footerReference r:id="rId5" w:type="default"/>
          <w:pgSz w:w="11907" w:h="16840"/>
          <w:pgMar w:top="1440" w:right="1080" w:bottom="1440" w:left="1080" w:header="851" w:footer="992" w:gutter="0"/>
          <w:cols w:space="720" w:num="1"/>
          <w:docGrid w:type="lines" w:linePitch="312" w:charSpace="0"/>
        </w:sectPr>
      </w:pPr>
    </w:p>
    <w:bookmarkEnd w:id="93"/>
    <w:p>
      <w:pPr>
        <w:pStyle w:val="5"/>
        <w:keepNext w:val="0"/>
        <w:keepLines w:val="0"/>
        <w:snapToGrid w:val="0"/>
        <w:spacing w:before="0" w:after="0"/>
        <w:jc w:val="center"/>
        <w:rPr>
          <w:rFonts w:ascii="仿宋_GB2312" w:eastAsia="仿宋_GB2312"/>
        </w:rPr>
      </w:pPr>
      <w:bookmarkStart w:id="94" w:name="_Toc123786888"/>
      <w:bookmarkStart w:id="95" w:name="_Toc315963014"/>
      <w:r>
        <w:rPr>
          <w:rFonts w:hint="eastAsia" w:ascii="宋体" w:hAnsi="宋体" w:eastAsia="宋体" w:cs="宋体"/>
        </w:rPr>
        <w:t>三、投标</w:t>
      </w:r>
      <w:bookmarkEnd w:id="94"/>
      <w:r>
        <w:rPr>
          <w:rFonts w:hint="eastAsia" w:ascii="宋体" w:hAnsi="宋体" w:eastAsia="宋体" w:cs="宋体"/>
        </w:rPr>
        <w:t>报价表</w:t>
      </w: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840" w:type="dxa"/>
            <w:vAlign w:val="center"/>
          </w:tcPr>
          <w:p>
            <w:pPr>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840" w:type="dxa"/>
            <w:vAlign w:val="center"/>
          </w:tcPr>
          <w:p>
            <w:pPr>
              <w:snapToGrid w:val="0"/>
              <w:spacing w:line="360" w:lineRule="auto"/>
              <w:rPr>
                <w:rFonts w:ascii="仿宋_GB2312" w:eastAsia="仿宋_GB2312"/>
                <w:u w:val="single"/>
              </w:rPr>
            </w:pPr>
            <w:r>
              <w:rPr>
                <w:rFonts w:hint="eastAsia" w:ascii="仿宋_GB2312" w:eastAsia="仿宋_GB2312"/>
              </w:rPr>
              <w:t>（大写）人民币</w:t>
            </w:r>
          </w:p>
          <w:p>
            <w:pPr>
              <w:adjustRightInd w:val="0"/>
              <w:snapToGrid w:val="0"/>
              <w:spacing w:line="360" w:lineRule="auto"/>
              <w:rPr>
                <w:rFonts w:ascii="仿宋_GB2312" w:eastAsia="仿宋_GB2312"/>
              </w:rPr>
            </w:pPr>
          </w:p>
          <w:p>
            <w:pPr>
              <w:adjustRightInd w:val="0"/>
              <w:snapToGrid w:val="0"/>
              <w:spacing w:line="360" w:lineRule="auto"/>
              <w:rPr>
                <w:rFonts w:ascii="仿宋_GB2312" w:hAnsi="宋体" w:eastAsia="仿宋_GB2312"/>
                <w:u w:val="single"/>
              </w:rPr>
            </w:pPr>
            <w:r>
              <w:rPr>
                <w:rFonts w:hint="eastAsia" w:ascii="仿宋_GB2312" w:eastAsia="仿宋_GB231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jc w:val="center"/>
              <w:rPr>
                <w:rFonts w:ascii="仿宋_GB2312" w:eastAsia="仿宋_GB2312"/>
              </w:rPr>
            </w:pPr>
            <w:r>
              <w:rPr>
                <w:rFonts w:hint="eastAsia" w:ascii="仿宋_GB2312" w:hAnsi="宋体" w:eastAsia="仿宋_GB2312"/>
              </w:rPr>
              <w:t>供货周期</w:t>
            </w:r>
          </w:p>
        </w:tc>
        <w:tc>
          <w:tcPr>
            <w:tcW w:w="6840" w:type="dxa"/>
            <w:vAlign w:val="center"/>
          </w:tcPr>
          <w:p>
            <w:pPr>
              <w:adjustRightInd w:val="0"/>
              <w:snapToGrid w:val="0"/>
              <w:spacing w:line="360" w:lineRule="auto"/>
              <w:rPr>
                <w:rFonts w:ascii="仿宋_GB2312" w:hAnsi="宋体"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840" w:type="dxa"/>
            <w:vAlign w:val="center"/>
          </w:tcPr>
          <w:p>
            <w:pPr>
              <w:adjustRightInd w:val="0"/>
              <w:snapToGrid w:val="0"/>
              <w:spacing w:line="360" w:lineRule="auto"/>
              <w:jc w:val="center"/>
              <w:rPr>
                <w:rFonts w:ascii="仿宋_GB2312" w:hAnsi="宋体" w:eastAsia="仿宋_GB2312"/>
                <w:u w:val="single"/>
              </w:rPr>
            </w:pP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四、分项报价明细表</w:t>
      </w:r>
      <w:bookmarkEnd w:id="95"/>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79"/>
        <w:gridCol w:w="1283"/>
        <w:gridCol w:w="983"/>
        <w:gridCol w:w="788"/>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1379" w:type="dxa"/>
            <w:vAlign w:val="center"/>
          </w:tcPr>
          <w:p>
            <w:pPr>
              <w:snapToGrid w:val="0"/>
              <w:spacing w:line="360" w:lineRule="auto"/>
              <w:jc w:val="center"/>
              <w:rPr>
                <w:rFonts w:hAnsi="宋体" w:cs="宋体"/>
                <w:sz w:val="24"/>
                <w:szCs w:val="24"/>
              </w:rPr>
            </w:pPr>
            <w:r>
              <w:rPr>
                <w:rFonts w:hint="eastAsia" w:hAnsi="宋体" w:cs="宋体"/>
                <w:sz w:val="24"/>
                <w:szCs w:val="24"/>
              </w:rPr>
              <w:t>产品名称</w:t>
            </w:r>
          </w:p>
        </w:tc>
        <w:tc>
          <w:tcPr>
            <w:tcW w:w="1283" w:type="dxa"/>
            <w:vAlign w:val="center"/>
          </w:tcPr>
          <w:p>
            <w:pPr>
              <w:snapToGrid w:val="0"/>
              <w:spacing w:line="360" w:lineRule="auto"/>
              <w:jc w:val="center"/>
              <w:rPr>
                <w:rFonts w:hAnsi="宋体" w:cs="宋体"/>
                <w:sz w:val="24"/>
                <w:szCs w:val="24"/>
              </w:rPr>
            </w:pPr>
            <w:r>
              <w:rPr>
                <w:rFonts w:hint="eastAsia" w:hAnsi="宋体" w:cs="宋体"/>
                <w:sz w:val="24"/>
                <w:szCs w:val="24"/>
              </w:rPr>
              <w:t>规格型号</w:t>
            </w:r>
          </w:p>
        </w:tc>
        <w:tc>
          <w:tcPr>
            <w:tcW w:w="983" w:type="dxa"/>
            <w:vAlign w:val="center"/>
          </w:tcPr>
          <w:p>
            <w:pPr>
              <w:snapToGrid w:val="0"/>
              <w:spacing w:line="360" w:lineRule="auto"/>
              <w:jc w:val="center"/>
              <w:rPr>
                <w:rFonts w:hAnsi="宋体" w:cs="宋体"/>
                <w:sz w:val="24"/>
                <w:szCs w:val="24"/>
              </w:rPr>
            </w:pPr>
            <w:r>
              <w:rPr>
                <w:rFonts w:hint="eastAsia" w:hAnsi="宋体" w:cs="宋体"/>
                <w:sz w:val="24"/>
                <w:szCs w:val="24"/>
              </w:rPr>
              <w:t>品牌</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789" w:type="dxa"/>
            <w:vAlign w:val="center"/>
          </w:tcPr>
          <w:p>
            <w:pPr>
              <w:snapToGrid w:val="0"/>
              <w:spacing w:line="360" w:lineRule="auto"/>
              <w:jc w:val="center"/>
              <w:rPr>
                <w:rFonts w:hAnsi="宋体" w:cs="宋体"/>
                <w:sz w:val="24"/>
                <w:szCs w:val="24"/>
              </w:rPr>
            </w:pPr>
            <w:r>
              <w:rPr>
                <w:rFonts w:hint="eastAsia" w:hAnsi="宋体" w:cs="宋体"/>
                <w:sz w:val="24"/>
                <w:szCs w:val="24"/>
              </w:rPr>
              <w:t>数量</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单价</w:t>
            </w:r>
          </w:p>
        </w:tc>
        <w:tc>
          <w:tcPr>
            <w:tcW w:w="1381" w:type="dxa"/>
            <w:vAlign w:val="center"/>
          </w:tcPr>
          <w:p>
            <w:pPr>
              <w:snapToGrid w:val="0"/>
              <w:spacing w:line="360" w:lineRule="auto"/>
              <w:jc w:val="center"/>
              <w:rPr>
                <w:rFonts w:hAnsi="宋体" w:cs="宋体"/>
                <w:sz w:val="24"/>
                <w:szCs w:val="24"/>
              </w:rPr>
            </w:pPr>
            <w:r>
              <w:rPr>
                <w:rFonts w:hint="eastAsia" w:hAnsi="宋体" w:cs="宋体"/>
                <w:sz w:val="24"/>
                <w:szCs w:val="24"/>
              </w:rPr>
              <w:t>金额</w:t>
            </w:r>
          </w:p>
        </w:tc>
        <w:tc>
          <w:tcPr>
            <w:tcW w:w="899" w:type="dxa"/>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6010" w:type="dxa"/>
            <w:gridSpan w:val="6"/>
            <w:vAlign w:val="center"/>
          </w:tcPr>
          <w:p>
            <w:pPr>
              <w:snapToGrid w:val="0"/>
              <w:spacing w:line="360" w:lineRule="auto"/>
              <w:ind w:firstLine="600" w:firstLineChars="250"/>
              <w:jc w:val="left"/>
              <w:rPr>
                <w:rFonts w:hAnsi="宋体" w:cs="宋体"/>
                <w:sz w:val="24"/>
                <w:szCs w:val="24"/>
              </w:rPr>
            </w:pPr>
            <w:r>
              <w:rPr>
                <w:rFonts w:hint="eastAsia" w:hAnsi="宋体" w:cs="宋体"/>
                <w:sz w:val="24"/>
                <w:szCs w:val="24"/>
              </w:rPr>
              <w:t>分项报价合计（万元）</w:t>
            </w: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adjustRightInd w:val="0"/>
        <w:snapToGrid w:val="0"/>
        <w:spacing w:line="360" w:lineRule="auto"/>
        <w:ind w:firstLine="480" w:firstLineChars="200"/>
        <w:jc w:val="left"/>
        <w:rPr>
          <w:rFonts w:hAnsi="宋体" w:cs="宋体"/>
          <w:sz w:val="24"/>
          <w:szCs w:val="24"/>
        </w:rPr>
        <w:sectPr>
          <w:footerReference r:id="rId6" w:type="default"/>
          <w:type w:val="nextColumn"/>
          <w:pgSz w:w="11907" w:h="16840"/>
          <w:pgMar w:top="1440" w:right="1474" w:bottom="1440" w:left="1474" w:header="851" w:footer="992" w:gutter="0"/>
          <w:cols w:space="720" w:num="1"/>
          <w:docGrid w:type="lines" w:linePitch="312" w:charSpace="0"/>
        </w:sectPr>
      </w:pPr>
    </w:p>
    <w:p>
      <w:pPr>
        <w:pStyle w:val="5"/>
        <w:snapToGrid w:val="0"/>
        <w:spacing w:before="0" w:after="0" w:line="360" w:lineRule="auto"/>
        <w:jc w:val="center"/>
        <w:rPr>
          <w:rFonts w:ascii="宋体" w:hAnsi="宋体" w:eastAsia="宋体" w:cs="宋体"/>
        </w:rPr>
      </w:pPr>
      <w:bookmarkStart w:id="96" w:name="_Toc217446087"/>
    </w:p>
    <w:p>
      <w:pPr>
        <w:pStyle w:val="5"/>
        <w:snapToGrid w:val="0"/>
        <w:spacing w:before="0" w:after="0" w:line="360" w:lineRule="auto"/>
        <w:jc w:val="center"/>
        <w:rPr>
          <w:rFonts w:ascii="宋体" w:hAnsi="宋体" w:eastAsia="宋体" w:cs="宋体"/>
        </w:rPr>
      </w:pPr>
      <w:r>
        <w:rPr>
          <w:rFonts w:hint="eastAsia" w:ascii="宋体" w:hAnsi="宋体" w:eastAsia="宋体" w:cs="宋体"/>
        </w:rPr>
        <w:t>五、商务应答表</w:t>
      </w:r>
      <w:bookmarkEnd w:id="96"/>
    </w:p>
    <w:p>
      <w:pPr>
        <w:pStyle w:val="15"/>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3079"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六、投标人近三年类似项目业绩一览表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505"/>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792"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2505"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478"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1081"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tcBorders>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napToGrid w:val="0"/>
              <w:spacing w:line="360" w:lineRule="auto"/>
              <w:jc w:val="left"/>
              <w:rPr>
                <w:rFonts w:hAnsi="宋体" w:cs="宋体"/>
                <w:sz w:val="24"/>
                <w:szCs w:val="24"/>
              </w:rPr>
            </w:pPr>
          </w:p>
        </w:tc>
        <w:tc>
          <w:tcPr>
            <w:tcW w:w="1792"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napToGrid w:val="0"/>
              <w:spacing w:line="360" w:lineRule="auto"/>
              <w:jc w:val="left"/>
              <w:rPr>
                <w:rFonts w:hAnsi="宋体" w:cs="宋体"/>
                <w:sz w:val="24"/>
                <w:szCs w:val="24"/>
              </w:rPr>
            </w:pPr>
          </w:p>
        </w:tc>
        <w:tc>
          <w:tcPr>
            <w:tcW w:w="1792" w:type="dxa"/>
            <w:tcBorders>
              <w:bottom w:val="single" w:color="auto" w:sz="4" w:space="0"/>
            </w:tcBorders>
            <w:vAlign w:val="center"/>
          </w:tcPr>
          <w:p>
            <w:pPr>
              <w:snapToGrid w:val="0"/>
              <w:spacing w:line="360" w:lineRule="auto"/>
              <w:jc w:val="left"/>
              <w:rPr>
                <w:rFonts w:hAnsi="宋体" w:cs="宋体"/>
                <w:sz w:val="24"/>
                <w:szCs w:val="24"/>
              </w:rPr>
            </w:pPr>
          </w:p>
        </w:tc>
        <w:tc>
          <w:tcPr>
            <w:tcW w:w="2505"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widowControl/>
        <w:jc w:val="left"/>
        <w:rPr>
          <w:rFonts w:ascii="宋体" w:hAnsi="宋体" w:eastAsia="宋体" w:cs="宋体"/>
        </w:rPr>
      </w:pPr>
      <w:r>
        <w:rPr>
          <w:rFonts w:hint="eastAsia" w:ascii="宋体" w:hAnsi="宋体" w:eastAsia="宋体" w:cs="宋体"/>
        </w:rPr>
        <w:t>七、投标人认为有必要补充说明的相关信息</w:t>
      </w:r>
    </w:p>
    <w:p>
      <w:pPr>
        <w:adjustRightInd w:val="0"/>
        <w:snapToGrid w:val="0"/>
        <w:spacing w:line="360" w:lineRule="auto"/>
        <w:jc w:val="left"/>
        <w:rPr>
          <w:rFonts w:hAnsi="宋体" w:cs="宋体"/>
          <w:bCs/>
          <w:spacing w:val="8"/>
          <w:sz w:val="24"/>
          <w:szCs w:val="24"/>
        </w:rPr>
        <w:sectPr>
          <w:pgSz w:w="11906" w:h="16838"/>
          <w:pgMar w:top="1083" w:right="1440" w:bottom="1083" w:left="1440" w:header="851" w:footer="992" w:gutter="0"/>
          <w:cols w:space="720" w:num="1"/>
          <w:docGrid w:type="lines" w:linePitch="473" w:charSpace="0"/>
        </w:sectPr>
      </w:pPr>
    </w:p>
    <w:p>
      <w:pPr>
        <w:pStyle w:val="4"/>
        <w:snapToGrid w:val="0"/>
        <w:spacing w:before="0" w:after="283" w:afterLines="60" w:line="360" w:lineRule="auto"/>
        <w:jc w:val="center"/>
        <w:rPr>
          <w:rFonts w:hint="eastAsia" w:hAnsi="宋体"/>
          <w:sz w:val="32"/>
          <w:szCs w:val="32"/>
        </w:rPr>
      </w:pPr>
      <w:bookmarkStart w:id="97" w:name="_Hlk42504294"/>
    </w:p>
    <w:bookmarkEnd w:id="97"/>
    <w:p>
      <w:pPr>
        <w:pStyle w:val="4"/>
        <w:snapToGrid w:val="0"/>
        <w:spacing w:before="0" w:after="277" w:afterLines="60" w:line="360" w:lineRule="auto"/>
        <w:jc w:val="center"/>
        <w:rPr>
          <w:rFonts w:hAnsi="宋体"/>
          <w:sz w:val="32"/>
          <w:szCs w:val="32"/>
        </w:rPr>
      </w:pPr>
      <w:r>
        <w:rPr>
          <w:rFonts w:hint="eastAsia" w:hAnsi="宋体"/>
          <w:sz w:val="32"/>
          <w:szCs w:val="32"/>
        </w:rPr>
        <w:t>第四章  招标项目技术、商务及其他要求</w:t>
      </w:r>
    </w:p>
    <w:tbl>
      <w:tblPr>
        <w:tblStyle w:val="21"/>
        <w:tblW w:w="9182" w:type="dxa"/>
        <w:tblInd w:w="113" w:type="dxa"/>
        <w:tblLayout w:type="fixed"/>
        <w:tblCellMar>
          <w:top w:w="0" w:type="dxa"/>
          <w:left w:w="108" w:type="dxa"/>
          <w:bottom w:w="0" w:type="dxa"/>
          <w:right w:w="108" w:type="dxa"/>
        </w:tblCellMar>
      </w:tblPr>
      <w:tblGrid>
        <w:gridCol w:w="1313"/>
        <w:gridCol w:w="7869"/>
      </w:tblGrid>
      <w:tr>
        <w:tblPrEx>
          <w:tblCellMar>
            <w:top w:w="0" w:type="dxa"/>
            <w:left w:w="108" w:type="dxa"/>
            <w:bottom w:w="0" w:type="dxa"/>
            <w:right w:w="108" w:type="dxa"/>
          </w:tblCellMar>
        </w:tblPrEx>
        <w:trPr>
          <w:trHeight w:val="985" w:hRule="atLeast"/>
        </w:trPr>
        <w:tc>
          <w:tcPr>
            <w:tcW w:w="1313" w:type="dxa"/>
            <w:tcBorders>
              <w:top w:val="single" w:color="auto" w:sz="4" w:space="0"/>
              <w:left w:val="single" w:color="000000" w:sz="4" w:space="0"/>
              <w:bottom w:val="single" w:color="000000" w:sz="4" w:space="0"/>
              <w:right w:val="single" w:color="000000" w:sz="4" w:space="0"/>
            </w:tcBorders>
            <w:vAlign w:val="center"/>
          </w:tcPr>
          <w:p>
            <w:pPr>
              <w:pStyle w:val="64"/>
              <w:adjustRightInd w:val="0"/>
              <w:snapToGrid w:val="0"/>
              <w:ind w:firstLine="0" w:firstLineChars="0"/>
              <w:jc w:val="center"/>
              <w:rPr>
                <w:rFonts w:hAnsi="宋体"/>
                <w:sz w:val="24"/>
                <w:szCs w:val="24"/>
              </w:rPr>
            </w:pPr>
            <w:r>
              <w:rPr>
                <w:rFonts w:hint="eastAsia" w:hAnsi="宋体"/>
                <w:sz w:val="24"/>
                <w:szCs w:val="24"/>
              </w:rPr>
              <w:t>项目名称</w:t>
            </w:r>
          </w:p>
        </w:tc>
        <w:tc>
          <w:tcPr>
            <w:tcW w:w="7869" w:type="dxa"/>
            <w:tcBorders>
              <w:top w:val="single" w:color="auto" w:sz="4" w:space="0"/>
              <w:left w:val="nil"/>
              <w:bottom w:val="single" w:color="000000" w:sz="4" w:space="0"/>
              <w:right w:val="single" w:color="000000" w:sz="4" w:space="0"/>
            </w:tcBorders>
            <w:vAlign w:val="center"/>
          </w:tcPr>
          <w:p>
            <w:pPr>
              <w:pStyle w:val="64"/>
              <w:adjustRightInd w:val="0"/>
              <w:snapToGrid w:val="0"/>
              <w:ind w:firstLine="0" w:firstLineChars="0"/>
              <w:jc w:val="left"/>
              <w:rPr>
                <w:rFonts w:ascii="仿宋_GB2312" w:eastAsia="仿宋_GB2312"/>
                <w:sz w:val="24"/>
                <w:szCs w:val="24"/>
              </w:rPr>
            </w:pPr>
            <w:r>
              <w:rPr>
                <w:rFonts w:hint="eastAsia" w:ascii="宋体" w:hAnsi="宋体" w:cs="宋体"/>
                <w:b/>
                <w:bCs/>
                <w:color w:val="000000"/>
                <w:sz w:val="30"/>
                <w:szCs w:val="30"/>
              </w:rPr>
              <w:t>2023年度纸质期刊采购</w:t>
            </w:r>
          </w:p>
        </w:tc>
      </w:tr>
      <w:tr>
        <w:tblPrEx>
          <w:tblCellMar>
            <w:top w:w="0" w:type="dxa"/>
            <w:left w:w="108" w:type="dxa"/>
            <w:bottom w:w="0" w:type="dxa"/>
            <w:right w:w="108" w:type="dxa"/>
          </w:tblCellMar>
        </w:tblPrEx>
        <w:trPr>
          <w:trHeight w:val="824" w:hRule="atLeast"/>
        </w:trPr>
        <w:tc>
          <w:tcPr>
            <w:tcW w:w="1313" w:type="dxa"/>
            <w:tcBorders>
              <w:top w:val="single" w:color="auto" w:sz="4" w:space="0"/>
              <w:left w:val="single" w:color="000000" w:sz="4" w:space="0"/>
              <w:bottom w:val="single" w:color="000000" w:sz="4" w:space="0"/>
              <w:right w:val="single" w:color="000000" w:sz="4" w:space="0"/>
            </w:tcBorders>
            <w:vAlign w:val="center"/>
          </w:tcPr>
          <w:p>
            <w:pPr>
              <w:spacing w:line="360" w:lineRule="exact"/>
              <w:jc w:val="center"/>
              <w:rPr>
                <w:rFonts w:hAnsi="宋体"/>
                <w:sz w:val="24"/>
                <w:szCs w:val="24"/>
              </w:rPr>
            </w:pPr>
            <w:r>
              <w:rPr>
                <w:rFonts w:hint="eastAsia" w:hAnsi="宋体"/>
                <w:sz w:val="24"/>
                <w:szCs w:val="24"/>
              </w:rPr>
              <w:t>详细技术参数</w:t>
            </w:r>
          </w:p>
          <w:p>
            <w:pPr>
              <w:pStyle w:val="64"/>
              <w:adjustRightInd w:val="0"/>
              <w:snapToGrid w:val="0"/>
              <w:ind w:firstLine="0" w:firstLineChars="0"/>
              <w:jc w:val="left"/>
              <w:rPr>
                <w:sz w:val="24"/>
                <w:szCs w:val="24"/>
              </w:rPr>
            </w:pPr>
            <w:r>
              <w:rPr>
                <w:rFonts w:hint="eastAsia" w:hAnsi="宋体"/>
                <w:sz w:val="24"/>
                <w:szCs w:val="24"/>
              </w:rPr>
              <w:t>（包括：规格、型号、数量、技术要求和售后服务要求等）</w:t>
            </w:r>
          </w:p>
        </w:tc>
        <w:tc>
          <w:tcPr>
            <w:tcW w:w="7869" w:type="dxa"/>
            <w:tcBorders>
              <w:top w:val="single" w:color="auto" w:sz="4" w:space="0"/>
              <w:left w:val="nil"/>
              <w:bottom w:val="single" w:color="000000" w:sz="4" w:space="0"/>
              <w:right w:val="single" w:color="000000" w:sz="4" w:space="0"/>
            </w:tcBorders>
          </w:tcPr>
          <w:p>
            <w:pPr>
              <w:pStyle w:val="70"/>
              <w:snapToGrid w:val="0"/>
              <w:spacing w:line="360" w:lineRule="auto"/>
              <w:ind w:firstLine="480"/>
              <w:rPr>
                <w:rFonts w:hAnsi="宋体"/>
                <w:szCs w:val="24"/>
              </w:rPr>
            </w:pPr>
            <w:r>
              <w:rPr>
                <w:rFonts w:hint="eastAsia" w:hAnsi="宋体"/>
                <w:szCs w:val="24"/>
              </w:rPr>
              <w:t>1、根据我校建设、学科专业建设和人才培养需要应提供适合学院师生借阅的，以铁道运输、经济、金融管理专业等为主的2023年期刊</w:t>
            </w:r>
            <w:r>
              <w:rPr>
                <w:rFonts w:hint="eastAsia" w:ascii="仿宋" w:hAnsi="仿宋" w:eastAsia="仿宋" w:cs="仿宋"/>
                <w:szCs w:val="24"/>
              </w:rPr>
              <w:t>。</w:t>
            </w:r>
          </w:p>
          <w:p>
            <w:pPr>
              <w:pStyle w:val="70"/>
              <w:snapToGrid w:val="0"/>
              <w:spacing w:line="360" w:lineRule="auto"/>
              <w:ind w:firstLine="480"/>
              <w:rPr>
                <w:rFonts w:hAnsi="宋体"/>
                <w:szCs w:val="24"/>
              </w:rPr>
            </w:pPr>
            <w:r>
              <w:rPr>
                <w:rFonts w:hint="eastAsia" w:hAnsi="宋体"/>
                <w:szCs w:val="24"/>
              </w:rPr>
              <w:t>2、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70"/>
              <w:snapToGrid w:val="0"/>
              <w:spacing w:line="360" w:lineRule="auto"/>
              <w:ind w:firstLine="480"/>
              <w:rPr>
                <w:rFonts w:hAnsi="宋体"/>
                <w:szCs w:val="24"/>
              </w:rPr>
            </w:pPr>
            <w:r>
              <w:rPr>
                <w:rFonts w:hint="eastAsia" w:hAnsi="宋体"/>
                <w:szCs w:val="24"/>
              </w:rPr>
              <w:t>3、供应商提供2023年度期刊采购目录，期刊订购在2022年11月30日前完成，订购2023年度出版的期刊且须按我馆订购的期刊品种、数量保证完整供货。</w:t>
            </w:r>
          </w:p>
          <w:p>
            <w:pPr>
              <w:pStyle w:val="70"/>
              <w:snapToGrid w:val="0"/>
              <w:spacing w:line="360" w:lineRule="auto"/>
              <w:ind w:firstLine="480"/>
              <w:rPr>
                <w:rFonts w:hAnsi="宋体"/>
                <w:szCs w:val="24"/>
              </w:rPr>
            </w:pPr>
            <w:r>
              <w:rPr>
                <w:rFonts w:hint="eastAsia" w:hAnsi="宋体"/>
                <w:szCs w:val="24"/>
              </w:rPr>
              <w:t>4、供应商所供期刊必须与我馆提供的订单相符，不得更换或搭配未订购的期刊，超出订单以外的期刊我馆将不予接收和付款。</w:t>
            </w:r>
          </w:p>
          <w:p>
            <w:pPr>
              <w:pStyle w:val="70"/>
              <w:snapToGrid w:val="0"/>
              <w:spacing w:line="360" w:lineRule="auto"/>
              <w:ind w:firstLine="480"/>
              <w:rPr>
                <w:rFonts w:hAnsi="宋体"/>
                <w:szCs w:val="24"/>
              </w:rPr>
            </w:pPr>
            <w:r>
              <w:rPr>
                <w:rFonts w:hint="eastAsia" w:hAnsi="宋体"/>
                <w:szCs w:val="24"/>
              </w:rPr>
              <w:t>5、期刊采购方式以订单定购为主，2022年11月10日前，提供订单目录或网络订购目录并订购，其中有部分专业内部刊物（不属于邮局发行），要求供应商一并采购到位，所有服务均有专人负责跟进。目录经过双方确定期刊种类、数量、订价、总价后，由供应商根据双方确认的实洋开据符合财务制度的正规发票。</w:t>
            </w:r>
          </w:p>
          <w:p>
            <w:pPr>
              <w:pStyle w:val="70"/>
              <w:snapToGrid w:val="0"/>
              <w:spacing w:line="360" w:lineRule="auto"/>
              <w:ind w:firstLine="480"/>
              <w:rPr>
                <w:rFonts w:hAnsi="宋体"/>
                <w:szCs w:val="24"/>
              </w:rPr>
            </w:pPr>
            <w:r>
              <w:rPr>
                <w:rFonts w:hint="eastAsia" w:hAnsi="宋体"/>
                <w:szCs w:val="24"/>
              </w:rPr>
              <w:t>6、供应商所提供的期刊应为正式出版物，并保证来源合法，违者将承担全部法律和经济责任，所提供期刊引起的侵犯版权、宣传非法内容等法律责任和经济责任完全由供应商承担。</w:t>
            </w:r>
          </w:p>
          <w:p>
            <w:pPr>
              <w:pStyle w:val="70"/>
              <w:snapToGrid w:val="0"/>
              <w:spacing w:line="360" w:lineRule="auto"/>
              <w:ind w:firstLine="480"/>
              <w:rPr>
                <w:rFonts w:hAnsi="宋体"/>
                <w:szCs w:val="24"/>
              </w:rPr>
            </w:pPr>
            <w:r>
              <w:rPr>
                <w:rFonts w:hint="eastAsia" w:hAnsi="宋体"/>
                <w:szCs w:val="24"/>
              </w:rPr>
              <w:t>7、对于出现开胶、散页、倒装、缺页、污损等有质量问题的期刊，无论加工与否，供应商必须无条件及时退换。</w:t>
            </w:r>
          </w:p>
          <w:p>
            <w:pPr>
              <w:pStyle w:val="70"/>
              <w:snapToGrid w:val="0"/>
              <w:spacing w:line="360" w:lineRule="auto"/>
              <w:ind w:firstLine="480"/>
              <w:rPr>
                <w:rFonts w:hAnsi="宋体"/>
                <w:szCs w:val="24"/>
              </w:rPr>
            </w:pPr>
            <w:r>
              <w:rPr>
                <w:rFonts w:hint="eastAsia" w:hAnsi="宋体"/>
                <w:szCs w:val="24"/>
              </w:rPr>
              <w:t>8、期刊品种采购率达到100％，如有特殊问题请在提供订单后一个月内及时反馈并进行协商。</w:t>
            </w:r>
          </w:p>
          <w:p>
            <w:pPr>
              <w:pStyle w:val="70"/>
              <w:snapToGrid w:val="0"/>
              <w:spacing w:line="360" w:lineRule="auto"/>
              <w:ind w:firstLine="480"/>
              <w:rPr>
                <w:rFonts w:hAnsi="宋体"/>
                <w:szCs w:val="24"/>
              </w:rPr>
            </w:pPr>
            <w:r>
              <w:rPr>
                <w:rFonts w:hint="eastAsia" w:hAnsi="宋体"/>
                <w:szCs w:val="24"/>
              </w:rPr>
              <w:t>9、期刊出版后一个月内到刊率要求达到99％以上，如有短缺，应及时补齐。</w:t>
            </w:r>
          </w:p>
          <w:p>
            <w:pPr>
              <w:pStyle w:val="70"/>
              <w:snapToGrid w:val="0"/>
              <w:spacing w:line="360" w:lineRule="auto"/>
              <w:ind w:firstLine="480"/>
              <w:rPr>
                <w:rFonts w:hAnsi="宋体"/>
                <w:szCs w:val="24"/>
              </w:rPr>
            </w:pPr>
            <w:r>
              <w:rPr>
                <w:rFonts w:hint="eastAsia" w:hAnsi="宋体"/>
                <w:szCs w:val="24"/>
              </w:rPr>
              <w:t>10、供应商收到采购人《期刊意向订购单》之后，对停办、改名、价格变更以及无法查找的刊物应在3日内反馈我方，并制作能满足我方订购意向的《期刊征订单》交采购人签字确认后，作为正式订购期刊品种及数量的依据。同时，供应商应为采购人提供所订购期刊的详细 MARC 数据。</w:t>
            </w:r>
          </w:p>
          <w:p>
            <w:pPr>
              <w:pStyle w:val="70"/>
              <w:snapToGrid w:val="0"/>
              <w:spacing w:line="360" w:lineRule="auto"/>
              <w:ind w:firstLine="480"/>
              <w:rPr>
                <w:rFonts w:hAnsi="宋体"/>
                <w:szCs w:val="24"/>
              </w:rPr>
            </w:pPr>
            <w:r>
              <w:rPr>
                <w:rFonts w:hint="eastAsia" w:hAnsi="宋体"/>
                <w:szCs w:val="24"/>
              </w:rPr>
              <w:t>11、所订期刊如遇刊名变更或价格变动，供应商应及时告知，如出现某些期刊实际价格超出预订价格50%的情况，应与采购人联系决定是否继续订购。否则采购人有权拒收。</w:t>
            </w:r>
          </w:p>
          <w:p>
            <w:pPr>
              <w:pStyle w:val="70"/>
              <w:snapToGrid w:val="0"/>
              <w:spacing w:line="360" w:lineRule="auto"/>
              <w:ind w:firstLine="480"/>
              <w:rPr>
                <w:rFonts w:hAnsi="宋体"/>
                <w:color w:val="000000" w:themeColor="text1"/>
                <w:szCs w:val="24"/>
                <w14:textFill>
                  <w14:solidFill>
                    <w14:schemeClr w14:val="tx1"/>
                  </w14:solidFill>
                </w14:textFill>
              </w:rPr>
            </w:pPr>
            <w:r>
              <w:rPr>
                <w:rFonts w:hint="eastAsia" w:hAnsi="宋体"/>
                <w:szCs w:val="24"/>
              </w:rPr>
              <w:t>12、供应商提供期刊全加工服务，包括有：为每册期刊加盖馆藏章（每册期刊上盖2枚馆藏章，封面和书名页各一枚章，用红色印泥，要求端正、清晰）。埋设防盗磁条：加粘16厘米长可冲消钴基磁条，每册刊一般埋设一根，要求埋设磁条贴近期刊装订缝处，牢固隐蔽不易发现。</w:t>
            </w:r>
            <w:r>
              <w:rPr>
                <w:rFonts w:hint="eastAsia" w:hAnsi="宋体"/>
                <w:color w:val="000000" w:themeColor="text1"/>
                <w:szCs w:val="24"/>
                <w14:textFill>
                  <w14:solidFill>
                    <w14:schemeClr w14:val="tx1"/>
                  </w14:solidFill>
                </w14:textFill>
              </w:rPr>
              <w:t>在完成当年期刊送刊后，完成统一期刊装订工作（按简装过刊装订）。</w:t>
            </w:r>
          </w:p>
          <w:p>
            <w:pPr>
              <w:pStyle w:val="70"/>
              <w:snapToGrid w:val="0"/>
              <w:spacing w:line="360" w:lineRule="auto"/>
              <w:ind w:firstLine="480"/>
              <w:rPr>
                <w:rFonts w:hAnsi="宋体"/>
                <w:szCs w:val="24"/>
              </w:rPr>
            </w:pPr>
            <w:r>
              <w:rPr>
                <w:rFonts w:hint="eastAsia" w:hAnsi="宋体"/>
                <w:szCs w:val="24"/>
              </w:rPr>
              <w:t>13、期刊到馆要及时，在期刊发行后，最迟不能超过一个月，如有些刊因供应渠道的问题，需要推迟到馆的，需要进行说明并经过图书馆阅览室负责人同意。</w:t>
            </w:r>
          </w:p>
          <w:p>
            <w:pPr>
              <w:pStyle w:val="70"/>
              <w:snapToGrid w:val="0"/>
              <w:spacing w:line="360" w:lineRule="auto"/>
              <w:ind w:firstLine="480"/>
              <w:rPr>
                <w:rFonts w:hAnsi="宋体"/>
                <w:szCs w:val="24"/>
              </w:rPr>
            </w:pPr>
            <w:r>
              <w:rPr>
                <w:rFonts w:hint="eastAsia" w:hAnsi="宋体"/>
                <w:szCs w:val="24"/>
              </w:rPr>
              <w:t>14、根据期刊订购目录提供每种的MARC数据注录，注录内容必须包括：国际ISSN号或统一书号、正副题名、丛书名、著者、出版社名称、版次、出版年、价格、装订形式、开本、内容提要、读者对象、适用范围等。供应商要保证提供的MARC格式的数据能在图书馆集成化系统上无障碍使用。</w:t>
            </w:r>
          </w:p>
          <w:p>
            <w:pPr>
              <w:pStyle w:val="70"/>
              <w:snapToGrid w:val="0"/>
              <w:spacing w:line="360" w:lineRule="auto"/>
              <w:ind w:firstLine="480"/>
              <w:rPr>
                <w:rFonts w:hAnsi="宋体"/>
                <w:szCs w:val="24"/>
              </w:rPr>
            </w:pPr>
            <w:r>
              <w:rPr>
                <w:rFonts w:hint="eastAsia" w:hAnsi="宋体"/>
                <w:szCs w:val="24"/>
              </w:rPr>
              <w:t>15、送货</w:t>
            </w:r>
          </w:p>
          <w:p>
            <w:pPr>
              <w:pStyle w:val="70"/>
              <w:snapToGrid w:val="0"/>
              <w:spacing w:line="360" w:lineRule="auto"/>
              <w:ind w:firstLine="480"/>
              <w:rPr>
                <w:rFonts w:hAnsi="宋体"/>
                <w:szCs w:val="24"/>
              </w:rPr>
            </w:pPr>
            <w:r>
              <w:rPr>
                <w:rFonts w:hint="eastAsia" w:hAnsi="宋体"/>
                <w:szCs w:val="24"/>
              </w:rPr>
              <w:t>1）供应商应建立单独数据库，便于供应商及采购人内部查询，如出现供应商数据库与采购人系统签到期刊不相符，以送货单为准，缺刊的在一个月内补齐。</w:t>
            </w:r>
          </w:p>
          <w:p>
            <w:pPr>
              <w:pStyle w:val="70"/>
              <w:snapToGrid w:val="0"/>
              <w:spacing w:line="360" w:lineRule="auto"/>
              <w:ind w:firstLine="480"/>
              <w:rPr>
                <w:rFonts w:hAnsi="宋体"/>
                <w:szCs w:val="24"/>
              </w:rPr>
            </w:pPr>
            <w:r>
              <w:rPr>
                <w:rFonts w:hint="eastAsia" w:hAnsi="宋体"/>
                <w:szCs w:val="24"/>
              </w:rPr>
              <w:t>2）如果期刊送货顺序与出版顺序不一致，供应商应说明且尽快补齐。</w:t>
            </w:r>
          </w:p>
          <w:p>
            <w:pPr>
              <w:pStyle w:val="70"/>
              <w:snapToGrid w:val="0"/>
              <w:spacing w:line="360" w:lineRule="auto"/>
              <w:ind w:firstLine="480"/>
              <w:rPr>
                <w:rFonts w:hAnsi="宋体"/>
                <w:szCs w:val="24"/>
              </w:rPr>
            </w:pPr>
            <w:r>
              <w:rPr>
                <w:rFonts w:hint="eastAsia" w:hAnsi="宋体"/>
                <w:szCs w:val="24"/>
              </w:rPr>
              <w:t>3）供应商就所缺期刊及期数每三个月列一个缺货清单送达图书馆期刊阅览室负责人。</w:t>
            </w:r>
          </w:p>
          <w:p>
            <w:pPr>
              <w:pStyle w:val="70"/>
              <w:snapToGrid w:val="0"/>
              <w:spacing w:line="360" w:lineRule="auto"/>
              <w:ind w:firstLine="480"/>
              <w:rPr>
                <w:rFonts w:hAnsi="宋体"/>
                <w:szCs w:val="24"/>
              </w:rPr>
            </w:pPr>
            <w:r>
              <w:rPr>
                <w:rFonts w:hint="eastAsia" w:hAnsi="宋体"/>
                <w:szCs w:val="24"/>
              </w:rPr>
              <w:t>4）供应商负责及时配送期刊，保证每周送刊1次到指定地点，并无条件提供卸货、搬运等服务，经采购人签字验收后作为收刊依据。</w:t>
            </w:r>
          </w:p>
          <w:p>
            <w:pPr>
              <w:pStyle w:val="70"/>
              <w:snapToGrid w:val="0"/>
              <w:spacing w:line="360" w:lineRule="auto"/>
              <w:ind w:firstLine="480"/>
              <w:rPr>
                <w:rFonts w:hAnsi="宋体"/>
                <w:szCs w:val="24"/>
              </w:rPr>
            </w:pPr>
            <w:r>
              <w:rPr>
                <w:rFonts w:hint="eastAsia" w:hAnsi="宋体"/>
                <w:szCs w:val="24"/>
              </w:rPr>
              <w:t>16、核算</w:t>
            </w:r>
          </w:p>
          <w:p>
            <w:pPr>
              <w:pStyle w:val="70"/>
              <w:snapToGrid w:val="0"/>
              <w:spacing w:line="360" w:lineRule="auto"/>
              <w:ind w:firstLine="480"/>
              <w:rPr>
                <w:rFonts w:hAnsi="宋体"/>
                <w:szCs w:val="24"/>
              </w:rPr>
            </w:pPr>
            <w:r>
              <w:rPr>
                <w:rFonts w:hint="eastAsia" w:hAnsi="宋体"/>
                <w:szCs w:val="24"/>
              </w:rPr>
              <w:t>1）以期刊采购明细表的目录作为计算期刊款的依据，以中标商的投标报价核算（以折扣率报价）。</w:t>
            </w:r>
          </w:p>
          <w:p>
            <w:pPr>
              <w:pStyle w:val="70"/>
              <w:snapToGrid w:val="0"/>
              <w:spacing w:line="360" w:lineRule="auto"/>
              <w:ind w:firstLine="480"/>
              <w:rPr>
                <w:rFonts w:hAnsi="宋体"/>
                <w:szCs w:val="24"/>
              </w:rPr>
            </w:pPr>
            <w:r>
              <w:rPr>
                <w:rFonts w:hint="eastAsia" w:hAnsi="宋体"/>
                <w:szCs w:val="24"/>
              </w:rPr>
              <w:t>2）投标报价不能超过纸质期刊项目的限价。</w:t>
            </w:r>
          </w:p>
          <w:p>
            <w:pPr>
              <w:spacing w:line="360" w:lineRule="auto"/>
              <w:ind w:firstLine="480" w:firstLineChars="200"/>
              <w:rPr>
                <w:rFonts w:hAnsi="宋体"/>
                <w:sz w:val="24"/>
              </w:rPr>
            </w:pPr>
            <w:r>
              <w:rPr>
                <w:rFonts w:hint="eastAsia" w:ascii="Times New Roman" w:hAnsi="宋体" w:cs="宋体"/>
                <w:sz w:val="24"/>
                <w:szCs w:val="24"/>
              </w:rPr>
              <w:t>3）因出版方原因中途停刊、断刊的，供应商应在</w:t>
            </w:r>
            <w:r>
              <w:rPr>
                <w:rFonts w:hint="eastAsia" w:ascii="Times New Roman" w:hAnsi="宋体" w:cs="宋体"/>
                <w:color w:val="000000" w:themeColor="text1"/>
                <w:sz w:val="24"/>
                <w:szCs w:val="24"/>
                <w14:textFill>
                  <w14:solidFill>
                    <w14:schemeClr w14:val="tx1"/>
                  </w14:solidFill>
                </w14:textFill>
              </w:rPr>
              <w:t>2024年4月30日前与我馆进行第二次核算</w:t>
            </w:r>
            <w:r>
              <w:rPr>
                <w:rFonts w:hint="eastAsia" w:ascii="Times New Roman" w:hAnsi="宋体" w:cs="宋体"/>
                <w:sz w:val="24"/>
                <w:szCs w:val="24"/>
              </w:rPr>
              <w:t>，并提供相应退还期刊款的目录及明细。</w:t>
            </w:r>
          </w:p>
        </w:tc>
      </w:tr>
      <w:tr>
        <w:tblPrEx>
          <w:tblCellMar>
            <w:top w:w="0" w:type="dxa"/>
            <w:left w:w="108" w:type="dxa"/>
            <w:bottom w:w="0" w:type="dxa"/>
            <w:right w:w="108" w:type="dxa"/>
          </w:tblCellMar>
        </w:tblPrEx>
        <w:trPr>
          <w:trHeight w:val="1344" w:hRule="atLeast"/>
        </w:trPr>
        <w:tc>
          <w:tcPr>
            <w:tcW w:w="1313" w:type="dxa"/>
            <w:tcBorders>
              <w:top w:val="single" w:color="000000" w:sz="4" w:space="0"/>
              <w:left w:val="single" w:color="000000" w:sz="4" w:space="0"/>
              <w:bottom w:val="single" w:color="000000" w:sz="4" w:space="0"/>
              <w:right w:val="single" w:color="000000" w:sz="4" w:space="0"/>
            </w:tcBorders>
            <w:vAlign w:val="center"/>
          </w:tcPr>
          <w:p>
            <w:pPr>
              <w:pStyle w:val="64"/>
              <w:adjustRightInd w:val="0"/>
              <w:snapToGrid w:val="0"/>
              <w:ind w:firstLine="0" w:firstLineChars="0"/>
              <w:jc w:val="center"/>
              <w:rPr>
                <w:rFonts w:hAnsi="宋体"/>
                <w:sz w:val="24"/>
                <w:szCs w:val="24"/>
              </w:rPr>
            </w:pPr>
            <w:r>
              <w:rPr>
                <w:rFonts w:hint="eastAsia" w:hAnsi="宋体"/>
                <w:sz w:val="24"/>
                <w:szCs w:val="24"/>
              </w:rPr>
              <w:t>验收内容</w:t>
            </w:r>
          </w:p>
          <w:p>
            <w:pPr>
              <w:pStyle w:val="64"/>
              <w:adjustRightInd w:val="0"/>
              <w:snapToGrid w:val="0"/>
              <w:ind w:firstLine="0" w:firstLineChars="0"/>
              <w:jc w:val="center"/>
              <w:rPr>
                <w:rFonts w:hAnsi="宋体"/>
                <w:sz w:val="24"/>
                <w:szCs w:val="24"/>
              </w:rPr>
            </w:pPr>
            <w:r>
              <w:rPr>
                <w:rFonts w:hint="eastAsia" w:hAnsi="宋体"/>
                <w:sz w:val="24"/>
                <w:szCs w:val="24"/>
              </w:rPr>
              <w:t>及标准</w:t>
            </w:r>
          </w:p>
        </w:tc>
        <w:tc>
          <w:tcPr>
            <w:tcW w:w="7869" w:type="dxa"/>
            <w:tcBorders>
              <w:top w:val="single" w:color="000000" w:sz="4" w:space="0"/>
              <w:left w:val="nil"/>
              <w:bottom w:val="single" w:color="000000" w:sz="4" w:space="0"/>
              <w:right w:val="single" w:color="000000" w:sz="4" w:space="0"/>
            </w:tcBorders>
            <w:vAlign w:val="center"/>
          </w:tcPr>
          <w:p>
            <w:pPr>
              <w:pStyle w:val="70"/>
              <w:snapToGrid w:val="0"/>
              <w:spacing w:line="360" w:lineRule="auto"/>
              <w:ind w:firstLine="48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1、乙方在期刊出版后</w:t>
            </w:r>
            <w:r>
              <w:rPr>
                <w:rFonts w:hint="eastAsia" w:hAnsi="宋体"/>
                <w:color w:val="000000" w:themeColor="text1"/>
                <w:szCs w:val="24"/>
                <w:u w:val="single"/>
                <w14:textFill>
                  <w14:solidFill>
                    <w14:schemeClr w14:val="tx1"/>
                  </w14:solidFill>
                </w14:textFill>
              </w:rPr>
              <w:t xml:space="preserve"> 15 </w:t>
            </w:r>
            <w:r>
              <w:rPr>
                <w:rFonts w:hint="eastAsia" w:hAnsi="宋体"/>
                <w:color w:val="000000" w:themeColor="text1"/>
                <w:szCs w:val="24"/>
                <w14:textFill>
                  <w14:solidFill>
                    <w14:schemeClr w14:val="tx1"/>
                  </w14:solidFill>
                </w14:textFill>
              </w:rPr>
              <w:t>天内送货到甲方指定地点，数据导入数据库验收合格交付使用。交货时</w:t>
            </w:r>
            <w:r>
              <w:rPr>
                <w:rFonts w:hint="eastAsia"/>
                <w:color w:val="000000" w:themeColor="text1"/>
                <w14:textFill>
                  <w14:solidFill>
                    <w14:schemeClr w14:val="tx1"/>
                  </w14:solidFill>
                </w14:textFill>
              </w:rPr>
              <w:t>须按每批次每包编号，每包的清单内容要与实际的期刊名称、单价、版次相符</w:t>
            </w:r>
            <w:r>
              <w:rPr>
                <w:rFonts w:hint="eastAsia" w:hAnsi="宋体"/>
                <w:color w:val="000000" w:themeColor="text1"/>
                <w:szCs w:val="24"/>
                <w14:textFill>
                  <w14:solidFill>
                    <w14:schemeClr w14:val="tx1"/>
                  </w14:solidFill>
                </w14:textFill>
              </w:rPr>
              <w:t>。交货验收时须提供产品质检部门从同类产品中抽样检查合格的检测报告。</w:t>
            </w:r>
          </w:p>
          <w:p>
            <w:pPr>
              <w:pStyle w:val="70"/>
              <w:snapToGrid w:val="0"/>
              <w:spacing w:line="360" w:lineRule="auto"/>
              <w:ind w:firstLine="480"/>
              <w:rPr>
                <w:rFonts w:hAnsi="宋体"/>
                <w:szCs w:val="24"/>
              </w:rPr>
            </w:pPr>
            <w:r>
              <w:rPr>
                <w:rFonts w:hint="eastAsia" w:hAnsi="宋体"/>
                <w:szCs w:val="24"/>
              </w:rPr>
              <w:t>2、验收由甲方组织，乙方配合进行：</w:t>
            </w:r>
          </w:p>
          <w:p>
            <w:pPr>
              <w:pStyle w:val="70"/>
              <w:snapToGrid w:val="0"/>
              <w:spacing w:line="360" w:lineRule="auto"/>
              <w:ind w:firstLine="480"/>
              <w:rPr>
                <w:rFonts w:hAnsi="宋体"/>
                <w:szCs w:val="24"/>
              </w:rPr>
            </w:pPr>
            <w:r>
              <w:rPr>
                <w:rFonts w:hint="eastAsia" w:hAnsi="宋体"/>
                <w:szCs w:val="24"/>
              </w:rPr>
              <w:t>（1）货物在乙方通知配送完毕后</w:t>
            </w:r>
            <w:r>
              <w:rPr>
                <w:rFonts w:hint="eastAsia" w:hAnsi="宋体"/>
                <w:szCs w:val="24"/>
                <w:u w:val="single"/>
              </w:rPr>
              <w:t>7</w:t>
            </w:r>
            <w:r>
              <w:rPr>
                <w:rFonts w:hint="eastAsia" w:hAnsi="宋体"/>
                <w:szCs w:val="24"/>
              </w:rPr>
              <w:t>日内验收。</w:t>
            </w:r>
          </w:p>
          <w:p>
            <w:pPr>
              <w:pStyle w:val="70"/>
              <w:snapToGrid w:val="0"/>
              <w:spacing w:line="360" w:lineRule="auto"/>
              <w:ind w:firstLine="480"/>
              <w:rPr>
                <w:rFonts w:hAnsi="宋体"/>
                <w:szCs w:val="24"/>
              </w:rPr>
            </w:pPr>
            <w:r>
              <w:rPr>
                <w:rFonts w:hint="eastAsia" w:hAnsi="宋体"/>
                <w:szCs w:val="24"/>
              </w:rPr>
              <w:t>（2）</w:t>
            </w:r>
            <w:r>
              <w:rPr>
                <w:rFonts w:hint="eastAsia" w:ascii="Verdana" w:hAnsi="Verdana"/>
                <w:color w:val="000000"/>
                <w:szCs w:val="24"/>
              </w:rPr>
              <w:t>期刊到馆验收要求完好无损，</w:t>
            </w:r>
            <w:r>
              <w:rPr>
                <w:rFonts w:hint="eastAsia" w:hAnsi="宋体"/>
                <w:szCs w:val="24"/>
              </w:rPr>
              <w:t>在期刊验收过程中，如发现缺刊、残刊、错刊、污损以及其他有关非正常情况，应及时向期刊供应商提出查询，期刊供应商应负责解决问题，及时补刊或退换。对我方提出的问题，期刊供应商应于3个工作日内答复。寒暑假配送期刊时间由采购人确定并提前通知期刊供应商，期刊供应商应严格遵守时间，不得擅自更改。</w:t>
            </w:r>
          </w:p>
          <w:p>
            <w:pPr>
              <w:pStyle w:val="70"/>
              <w:snapToGrid w:val="0"/>
              <w:spacing w:line="360" w:lineRule="auto"/>
              <w:ind w:firstLine="480"/>
              <w:rPr>
                <w:rFonts w:hAnsi="宋体"/>
                <w:szCs w:val="24"/>
              </w:rPr>
            </w:pPr>
            <w:r>
              <w:rPr>
                <w:rFonts w:hint="eastAsia" w:ascii="Verdana" w:hAnsi="Verdana"/>
                <w:color w:val="000000"/>
                <w:szCs w:val="24"/>
              </w:rPr>
              <w:t>（</w:t>
            </w:r>
            <w:r>
              <w:rPr>
                <w:rFonts w:hint="eastAsia" w:ascii="宋体" w:hAnsi="宋体"/>
                <w:color w:val="000000"/>
                <w:szCs w:val="24"/>
              </w:rPr>
              <w:t>3）</w:t>
            </w:r>
            <w:r>
              <w:rPr>
                <w:rFonts w:hint="eastAsia" w:hAnsi="宋体"/>
                <w:szCs w:val="24"/>
              </w:rPr>
              <w:t>验收时如发现所交付的期刊与甲方所提供的期刊采购目录不符、有缺章少页、次品、损坏或其它不符合标准及本文件规定之情形者，甲方应做出详尽的现场记录，或由甲乙双方签署备忘录，此现场记录或备忘录可用作补充、缺失和更换损坏期刊的有效证据，由此产生的时间延误与有关费用由乙方承担，验收期限相应顺延。</w:t>
            </w:r>
          </w:p>
          <w:p>
            <w:pPr>
              <w:pStyle w:val="70"/>
              <w:snapToGrid w:val="0"/>
              <w:spacing w:line="360" w:lineRule="auto"/>
              <w:ind w:firstLine="480"/>
              <w:rPr>
                <w:rFonts w:hAnsi="宋体"/>
                <w:szCs w:val="24"/>
              </w:rPr>
            </w:pPr>
            <w:r>
              <w:rPr>
                <w:rFonts w:hint="eastAsia" w:hAnsi="宋体"/>
                <w:szCs w:val="24"/>
              </w:rPr>
              <w:t>（4） 验收标准：按国家有关规定以及甲方招标文件的质量要求和技术指标、乙方的投标文件及承诺与合同约定标准进行验收；甲乙双方如对质量要求和技术指标的约定标准有相互抵触或异议的事项，由甲方按质量要求和技术指标比较优胜的原则确定该项的约定标准进行验收。</w:t>
            </w:r>
          </w:p>
          <w:p>
            <w:pPr>
              <w:pStyle w:val="70"/>
              <w:snapToGrid w:val="0"/>
              <w:spacing w:line="360" w:lineRule="auto"/>
              <w:ind w:firstLine="480"/>
              <w:rPr>
                <w:rFonts w:hAnsi="宋体"/>
                <w:szCs w:val="24"/>
              </w:rPr>
            </w:pPr>
            <w:r>
              <w:rPr>
                <w:rFonts w:hint="eastAsia" w:hAnsi="宋体"/>
                <w:szCs w:val="24"/>
              </w:rPr>
              <w:t>（5）如期刊出版发行时有随刊附件（包括增刊、赠刊和其他赠送物等），期刊供应商应在发货清单标注并全部送达我馆，不得擅自拆留。</w:t>
            </w:r>
          </w:p>
          <w:p>
            <w:pPr>
              <w:pStyle w:val="70"/>
              <w:snapToGrid w:val="0"/>
              <w:spacing w:line="360" w:lineRule="auto"/>
              <w:ind w:firstLine="480"/>
              <w:rPr>
                <w:rFonts w:hAnsi="宋体"/>
                <w:szCs w:val="24"/>
              </w:rPr>
            </w:pPr>
            <w:r>
              <w:rPr>
                <w:rFonts w:hint="eastAsia" w:hAnsi="宋体"/>
                <w:szCs w:val="24"/>
              </w:rPr>
              <w:t>（6）如质量验收合格，双方签署质量验收报告。</w:t>
            </w:r>
          </w:p>
          <w:p>
            <w:pPr>
              <w:pStyle w:val="70"/>
              <w:snapToGrid w:val="0"/>
              <w:spacing w:line="360" w:lineRule="auto"/>
              <w:ind w:firstLine="480"/>
              <w:rPr>
                <w:rFonts w:hAnsi="宋体"/>
                <w:szCs w:val="24"/>
              </w:rPr>
            </w:pPr>
            <w:r>
              <w:rPr>
                <w:rFonts w:hint="eastAsia" w:hAnsi="宋体"/>
                <w:szCs w:val="24"/>
              </w:rPr>
              <w:t>（7）供应商每季度提供一份未到刊清单以及刊物相关变更情况，须以书面形式说明原因，对我方的催缺请求，供应商应在3个工作日内予以响应，并在30天内将缺刊补交给我方；无法补齐的部分应及时说明并按我方要求无条件提供所缺期刊复印件，供应商在2024年4月30日以前完成上一年度期刊补缺工作，并于第二次核算退还相应款项差额。</w:t>
            </w:r>
          </w:p>
          <w:p>
            <w:pPr>
              <w:pStyle w:val="70"/>
              <w:snapToGrid w:val="0"/>
              <w:spacing w:line="360" w:lineRule="auto"/>
              <w:ind w:firstLine="480"/>
              <w:rPr>
                <w:rFonts w:hAnsi="宋体"/>
                <w:szCs w:val="24"/>
              </w:rPr>
            </w:pPr>
            <w:r>
              <w:rPr>
                <w:rFonts w:hint="eastAsia" w:hAnsi="宋体"/>
                <w:szCs w:val="24"/>
              </w:rPr>
              <w:t>3、货物配送完成后</w:t>
            </w:r>
            <w:r>
              <w:rPr>
                <w:rFonts w:hint="eastAsia" w:hAnsi="宋体"/>
                <w:szCs w:val="24"/>
                <w:u w:val="single"/>
              </w:rPr>
              <w:t>7</w:t>
            </w:r>
            <w:r>
              <w:rPr>
                <w:rFonts w:hint="eastAsia" w:hAnsi="宋体"/>
                <w:szCs w:val="24"/>
              </w:rPr>
              <w:t>日内，甲方无故不进行验收工作并已使用货物的，视同已安装调试完成并验收合格。</w:t>
            </w:r>
          </w:p>
          <w:p>
            <w:pPr>
              <w:pStyle w:val="70"/>
              <w:snapToGrid w:val="0"/>
              <w:spacing w:line="360" w:lineRule="auto"/>
              <w:ind w:firstLine="480"/>
              <w:rPr>
                <w:rFonts w:hAnsi="宋体"/>
                <w:szCs w:val="24"/>
              </w:rPr>
            </w:pPr>
            <w:r>
              <w:rPr>
                <w:rFonts w:hint="eastAsia" w:hAnsi="宋体"/>
                <w:szCs w:val="24"/>
              </w:rPr>
              <w:t>4、其它未尽事宜应按照《四川省政府采购项目需求论证和履约验收管理办法》（川财采（2015）32号）的要求进行。</w:t>
            </w:r>
          </w:p>
        </w:tc>
      </w:tr>
    </w:tbl>
    <w:p>
      <w:pPr>
        <w:rPr>
          <w:rFonts w:hAnsi="宋体"/>
          <w:sz w:val="32"/>
          <w:szCs w:val="32"/>
        </w:rPr>
      </w:pPr>
      <w:r>
        <w:rPr>
          <w:rFonts w:hint="eastAsia" w:hAnsi="宋体"/>
          <w:sz w:val="32"/>
          <w:szCs w:val="32"/>
        </w:rPr>
        <w:br w:type="page"/>
      </w:r>
    </w:p>
    <w:p>
      <w:pPr>
        <w:pStyle w:val="4"/>
        <w:snapToGrid w:val="0"/>
        <w:spacing w:before="0" w:after="0" w:line="240" w:lineRule="auto"/>
        <w:ind w:firstLine="2891" w:firstLineChars="900"/>
        <w:rPr>
          <w:rFonts w:hAnsi="宋体"/>
          <w:sz w:val="32"/>
          <w:szCs w:val="32"/>
        </w:rPr>
      </w:pPr>
    </w:p>
    <w:p>
      <w:pPr>
        <w:pStyle w:val="4"/>
        <w:snapToGrid w:val="0"/>
        <w:spacing w:before="0" w:after="0" w:line="240" w:lineRule="auto"/>
        <w:ind w:firstLine="2891" w:firstLineChars="900"/>
        <w:rPr>
          <w:rFonts w:hAnsi="宋体"/>
          <w:sz w:val="32"/>
          <w:szCs w:val="32"/>
        </w:rPr>
      </w:pPr>
      <w:r>
        <w:rPr>
          <w:rFonts w:hint="eastAsia" w:hAnsi="宋体"/>
          <w:sz w:val="32"/>
          <w:szCs w:val="32"/>
        </w:rPr>
        <w:t>第五章</w:t>
      </w:r>
      <w:r>
        <w:rPr>
          <w:rFonts w:hAnsi="宋体"/>
          <w:sz w:val="32"/>
          <w:szCs w:val="32"/>
        </w:rPr>
        <w:t xml:space="preserve">  </w:t>
      </w:r>
      <w:r>
        <w:rPr>
          <w:rFonts w:hint="eastAsia" w:hAnsi="宋体"/>
          <w:sz w:val="32"/>
          <w:szCs w:val="32"/>
        </w:rPr>
        <w:t>评标办法</w:t>
      </w:r>
    </w:p>
    <w:p>
      <w:pPr>
        <w:adjustRightInd w:val="0"/>
        <w:snapToGrid w:val="0"/>
        <w:spacing w:line="360" w:lineRule="auto"/>
        <w:ind w:firstLine="481" w:firstLineChars="188"/>
        <w:jc w:val="left"/>
        <w:rPr>
          <w:rFonts w:hAnsi="宋体"/>
          <w:spacing w:val="8"/>
          <w:sz w:val="24"/>
          <w:szCs w:val="24"/>
        </w:rPr>
      </w:pPr>
    </w:p>
    <w:p>
      <w:pPr>
        <w:adjustRightInd w:val="0"/>
        <w:snapToGrid w:val="0"/>
        <w:spacing w:line="360" w:lineRule="auto"/>
        <w:ind w:firstLine="480" w:firstLineChars="200"/>
        <w:jc w:val="left"/>
        <w:rPr>
          <w:rFonts w:hAnsi="宋体"/>
          <w:color w:val="000000"/>
          <w:sz w:val="24"/>
        </w:rPr>
      </w:pPr>
      <w:r>
        <w:rPr>
          <w:rFonts w:hint="eastAsia" w:hAnsi="宋体"/>
          <w:color w:val="000000"/>
          <w:sz w:val="24"/>
        </w:rPr>
        <w:t>一、评标办法</w:t>
      </w:r>
    </w:p>
    <w:p>
      <w:pPr>
        <w:adjustRightInd w:val="0"/>
        <w:snapToGrid w:val="0"/>
        <w:spacing w:line="360" w:lineRule="auto"/>
        <w:ind w:left="480"/>
        <w:jc w:val="left"/>
        <w:rPr>
          <w:rFonts w:hAnsi="宋体"/>
          <w:color w:val="000000"/>
          <w:sz w:val="24"/>
        </w:rPr>
      </w:pPr>
      <w:r>
        <w:rPr>
          <w:rFonts w:hint="eastAsia" w:hAnsi="宋体"/>
          <w:color w:val="000000"/>
          <w:sz w:val="24"/>
        </w:rPr>
        <w:t>本次评标采用综合评标法。</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二、评分办法说明</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对各投标文件进行详细评审打分，满分为</w:t>
      </w:r>
      <w:r>
        <w:rPr>
          <w:rFonts w:hAnsi="宋体"/>
          <w:color w:val="000000"/>
          <w:sz w:val="24"/>
        </w:rPr>
        <w:t xml:space="preserve"> 100 </w:t>
      </w:r>
      <w:r>
        <w:rPr>
          <w:rFonts w:hint="eastAsia" w:hAnsi="宋体"/>
          <w:color w:val="000000"/>
          <w:sz w:val="24"/>
        </w:rPr>
        <w:t>分。招标主要考评因素包括投标报价（30</w:t>
      </w:r>
      <w:r>
        <w:rPr>
          <w:rFonts w:hAnsi="宋体"/>
          <w:color w:val="000000"/>
          <w:sz w:val="24"/>
        </w:rPr>
        <w:t>%</w:t>
      </w:r>
      <w:r>
        <w:rPr>
          <w:rFonts w:hint="eastAsia" w:hAnsi="宋体"/>
          <w:color w:val="000000"/>
          <w:sz w:val="24"/>
        </w:rPr>
        <w:t>）、技术性能（40</w:t>
      </w:r>
      <w:r>
        <w:rPr>
          <w:rFonts w:hAnsi="宋体"/>
          <w:color w:val="000000"/>
          <w:sz w:val="24"/>
        </w:rPr>
        <w:t>%</w:t>
      </w:r>
      <w:r>
        <w:rPr>
          <w:rFonts w:hint="eastAsia" w:hAnsi="宋体"/>
          <w:color w:val="000000"/>
          <w:sz w:val="24"/>
        </w:rPr>
        <w:t>）和综合商务部分（30</w:t>
      </w:r>
      <w:r>
        <w:rPr>
          <w:rFonts w:hAnsi="宋体"/>
          <w:color w:val="000000"/>
          <w:sz w:val="24"/>
        </w:rPr>
        <w:t>%</w:t>
      </w:r>
      <w:r>
        <w:rPr>
          <w:rFonts w:hint="eastAsia" w:hAnsi="宋体"/>
          <w:color w:val="000000"/>
          <w:sz w:val="24"/>
        </w:rPr>
        <w:t>）三个方面，各投标人三方面的所有评价指标得分之和为该投标人的综合得分。</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详细评分标准如下表：</w:t>
      </w:r>
      <w:r>
        <w:rPr>
          <w:rFonts w:hAnsi="宋体"/>
          <w:color w:val="000000"/>
          <w:sz w:val="24"/>
        </w:rPr>
        <w:t xml:space="preserve"> </w:t>
      </w:r>
    </w:p>
    <w:tbl>
      <w:tblPr>
        <w:tblStyle w:val="21"/>
        <w:tblW w:w="9358" w:type="dxa"/>
        <w:tblCellSpacing w:w="0"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3"/>
        <w:gridCol w:w="10"/>
        <w:gridCol w:w="19"/>
        <w:gridCol w:w="1245"/>
        <w:gridCol w:w="245"/>
        <w:gridCol w:w="24"/>
        <w:gridCol w:w="19"/>
        <w:gridCol w:w="732"/>
        <w:gridCol w:w="273"/>
        <w:gridCol w:w="14"/>
        <w:gridCol w:w="28"/>
        <w:gridCol w:w="6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70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序号</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评价因素</w:t>
            </w:r>
          </w:p>
        </w:tc>
        <w:tc>
          <w:tcPr>
            <w:tcW w:w="102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权重</w:t>
            </w:r>
          </w:p>
          <w:p>
            <w:pPr>
              <w:adjustRightInd w:val="0"/>
              <w:snapToGrid w:val="0"/>
              <w:spacing w:line="360" w:lineRule="auto"/>
              <w:rPr>
                <w:rFonts w:hAnsi="宋体" w:cs="宋体"/>
                <w:bCs/>
                <w:spacing w:val="8"/>
                <w:sz w:val="24"/>
              </w:rPr>
            </w:pPr>
            <w:r>
              <w:rPr>
                <w:rFonts w:hint="eastAsia" w:hAnsi="宋体" w:cs="宋体"/>
                <w:bCs/>
                <w:spacing w:val="8"/>
                <w:sz w:val="24"/>
              </w:rPr>
              <w:t>（满分）</w:t>
            </w:r>
          </w:p>
        </w:tc>
        <w:tc>
          <w:tcPr>
            <w:tcW w:w="639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1" w:firstLineChars="188"/>
              <w:jc w:val="center"/>
              <w:rPr>
                <w:rFonts w:hAnsi="宋体" w:cs="宋体"/>
                <w:bCs/>
                <w:spacing w:val="8"/>
                <w:sz w:val="24"/>
              </w:rPr>
            </w:pPr>
            <w:r>
              <w:rPr>
                <w:rFonts w:hint="eastAsia" w:hAnsi="宋体" w:cs="宋体"/>
                <w:bCs/>
                <w:spacing w:val="8"/>
                <w:sz w:val="24"/>
              </w:rPr>
              <w:t>评分原则说明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358" w:type="dxa"/>
            <w:gridSpan w:val="12"/>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一</w:t>
            </w:r>
            <w:r>
              <w:rPr>
                <w:rFonts w:hAnsi="宋体" w:cs="宋体"/>
                <w:bCs/>
                <w:spacing w:val="8"/>
                <w:sz w:val="24"/>
                <w:szCs w:val="24"/>
              </w:rPr>
              <w:t xml:space="preserve"> 、投标报价（满分 </w:t>
            </w:r>
            <w:r>
              <w:rPr>
                <w:rFonts w:hint="eastAsia" w:hAnsi="宋体" w:cs="宋体"/>
                <w:bCs/>
                <w:spacing w:val="8"/>
                <w:sz w:val="24"/>
                <w:szCs w:val="24"/>
              </w:rPr>
              <w:t>3</w:t>
            </w:r>
            <w:r>
              <w:rPr>
                <w:rFonts w:hAnsi="宋体" w:cs="宋体"/>
                <w:bCs/>
                <w:spacing w:val="8"/>
                <w:sz w:val="24"/>
                <w:szCs w:val="24"/>
              </w:rPr>
              <w:t>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73" w:type="dxa"/>
            <w:tcBorders>
              <w:right w:val="single" w:color="auto" w:sz="4" w:space="0"/>
            </w:tcBorders>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1</w:t>
            </w:r>
          </w:p>
        </w:tc>
        <w:tc>
          <w:tcPr>
            <w:tcW w:w="1543" w:type="dxa"/>
            <w:gridSpan w:val="5"/>
            <w:tcBorders>
              <w:left w:val="single" w:color="auto" w:sz="4" w:space="0"/>
              <w:right w:val="single" w:color="auto" w:sz="4" w:space="0"/>
            </w:tcBorders>
            <w:vAlign w:val="center"/>
          </w:tcPr>
          <w:p>
            <w:pPr>
              <w:adjustRightInd w:val="0"/>
              <w:snapToGrid w:val="0"/>
              <w:spacing w:line="360" w:lineRule="auto"/>
              <w:jc w:val="center"/>
              <w:rPr>
                <w:rFonts w:hAnsi="宋体" w:cs="宋体"/>
                <w:bCs/>
                <w:spacing w:val="8"/>
                <w:sz w:val="24"/>
                <w:szCs w:val="24"/>
              </w:rPr>
            </w:pPr>
            <w:r>
              <w:rPr>
                <w:rFonts w:hAnsi="宋体" w:cs="宋体"/>
                <w:bCs/>
                <w:spacing w:val="8"/>
                <w:sz w:val="24"/>
                <w:szCs w:val="24"/>
              </w:rPr>
              <w:t>投标报价</w:t>
            </w:r>
            <w:r>
              <w:rPr>
                <w:rFonts w:hint="eastAsia" w:hAnsi="宋体" w:cs="宋体"/>
                <w:bCs/>
                <w:spacing w:val="8"/>
                <w:sz w:val="24"/>
                <w:szCs w:val="24"/>
              </w:rPr>
              <w:t>、备件价格</w:t>
            </w:r>
          </w:p>
        </w:tc>
        <w:tc>
          <w:tcPr>
            <w:tcW w:w="1038" w:type="dxa"/>
            <w:gridSpan w:val="4"/>
            <w:tcBorders>
              <w:left w:val="single" w:color="auto" w:sz="4" w:space="0"/>
              <w:right w:val="single" w:color="auto" w:sz="4" w:space="0"/>
            </w:tcBorders>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30</w:t>
            </w:r>
          </w:p>
        </w:tc>
        <w:tc>
          <w:tcPr>
            <w:tcW w:w="6104" w:type="dxa"/>
            <w:gridSpan w:val="2"/>
            <w:tcBorders>
              <w:left w:val="single" w:color="auto" w:sz="4" w:space="0"/>
            </w:tcBorders>
            <w:vAlign w:val="center"/>
          </w:tcPr>
          <w:p>
            <w:pPr>
              <w:spacing w:line="360" w:lineRule="auto"/>
              <w:rPr>
                <w:rFonts w:hAnsi="宋体" w:cs="宋体"/>
                <w:bCs/>
                <w:spacing w:val="8"/>
                <w:sz w:val="24"/>
                <w:szCs w:val="24"/>
              </w:rPr>
            </w:pPr>
            <w:r>
              <w:rPr>
                <w:rFonts w:hint="eastAsia" w:hAnsi="宋体" w:cs="宋体"/>
                <w:sz w:val="24"/>
                <w:szCs w:val="24"/>
              </w:rPr>
              <w:t>投标文件中的有效最低折扣为基准折扣率，投标报价得分</w:t>
            </w:r>
            <w:r>
              <w:rPr>
                <w:rFonts w:hAnsi="宋体" w:cs="宋体"/>
                <w:sz w:val="24"/>
                <w:szCs w:val="24"/>
              </w:rPr>
              <w:t>=</w:t>
            </w:r>
            <w:r>
              <w:rPr>
                <w:rFonts w:hint="eastAsia" w:hAnsi="宋体" w:cs="宋体"/>
                <w:sz w:val="24"/>
                <w:szCs w:val="24"/>
              </w:rPr>
              <w:t>（投标折扣／基准折扣）×3</w:t>
            </w:r>
            <w:r>
              <w:rPr>
                <w:rFonts w:hAnsi="宋体" w:cs="宋体"/>
                <w:sz w:val="24"/>
                <w:szCs w:val="24"/>
              </w:rPr>
              <w:t>0</w:t>
            </w:r>
            <w:r>
              <w:rPr>
                <w:rFonts w:hint="eastAsia"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358" w:type="dxa"/>
            <w:gridSpan w:val="12"/>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二</w:t>
            </w:r>
            <w:r>
              <w:rPr>
                <w:rFonts w:hAnsi="宋体" w:cs="宋体"/>
                <w:bCs/>
                <w:spacing w:val="8"/>
                <w:sz w:val="24"/>
                <w:szCs w:val="24"/>
              </w:rPr>
              <w:t xml:space="preserve">、技术性能（满分 </w:t>
            </w:r>
            <w:r>
              <w:rPr>
                <w:rFonts w:hint="eastAsia" w:hAnsi="宋体" w:cs="宋体"/>
                <w:bCs/>
                <w:spacing w:val="8"/>
                <w:sz w:val="24"/>
                <w:szCs w:val="24"/>
              </w:rPr>
              <w:t>40</w:t>
            </w:r>
            <w:r>
              <w:rPr>
                <w:rFonts w:hAnsi="宋体" w:cs="宋体"/>
                <w:bCs/>
                <w:spacing w:val="8"/>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83" w:type="dxa"/>
            <w:gridSpan w:val="2"/>
            <w:tcBorders>
              <w:right w:val="single" w:color="auto" w:sz="4" w:space="0"/>
            </w:tcBorders>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1</w:t>
            </w:r>
          </w:p>
        </w:tc>
        <w:tc>
          <w:tcPr>
            <w:tcW w:w="1552" w:type="dxa"/>
            <w:gridSpan w:val="5"/>
            <w:tcBorders>
              <w:left w:val="single" w:color="auto" w:sz="4" w:space="0"/>
              <w:right w:val="single" w:color="auto" w:sz="4" w:space="0"/>
            </w:tcBorders>
            <w:vAlign w:val="center"/>
          </w:tcPr>
          <w:p>
            <w:pPr>
              <w:adjustRightInd w:val="0"/>
              <w:snapToGrid w:val="0"/>
              <w:spacing w:line="360" w:lineRule="auto"/>
              <w:jc w:val="center"/>
              <w:rPr>
                <w:rFonts w:hAnsi="宋体" w:cs="宋体"/>
                <w:bCs/>
                <w:spacing w:val="8"/>
                <w:sz w:val="24"/>
                <w:szCs w:val="24"/>
              </w:rPr>
            </w:pPr>
            <w:r>
              <w:rPr>
                <w:rFonts w:hAnsi="宋体" w:cs="宋体"/>
                <w:bCs/>
                <w:spacing w:val="8"/>
                <w:sz w:val="24"/>
                <w:szCs w:val="24"/>
              </w:rPr>
              <w:t>技术性能</w:t>
            </w:r>
            <w:r>
              <w:rPr>
                <w:rFonts w:hint="eastAsia" w:hAnsi="宋体" w:cs="宋体"/>
                <w:bCs/>
                <w:spacing w:val="8"/>
                <w:sz w:val="24"/>
                <w:szCs w:val="24"/>
              </w:rPr>
              <w:t>、维修、运行</w:t>
            </w:r>
          </w:p>
        </w:tc>
        <w:tc>
          <w:tcPr>
            <w:tcW w:w="1047" w:type="dxa"/>
            <w:gridSpan w:val="4"/>
            <w:tcBorders>
              <w:left w:val="single" w:color="auto" w:sz="4" w:space="0"/>
              <w:right w:val="single" w:color="auto" w:sz="4" w:space="0"/>
            </w:tcBorders>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40</w:t>
            </w:r>
          </w:p>
        </w:tc>
        <w:tc>
          <w:tcPr>
            <w:tcW w:w="6076" w:type="dxa"/>
            <w:tcBorders>
              <w:left w:val="single" w:color="auto" w:sz="4" w:space="0"/>
            </w:tcBorders>
            <w:vAlign w:val="center"/>
          </w:tcPr>
          <w:p>
            <w:pPr>
              <w:pStyle w:val="55"/>
              <w:numPr>
                <w:ilvl w:val="0"/>
                <w:numId w:val="6"/>
              </w:numPr>
              <w:adjustRightInd w:val="0"/>
              <w:snapToGrid w:val="0"/>
              <w:spacing w:line="360" w:lineRule="auto"/>
              <w:ind w:firstLineChars="0"/>
              <w:rPr>
                <w:rFonts w:ascii="Verdana" w:hAnsi="Verdana" w:cs="宋体"/>
                <w:color w:val="000000"/>
                <w:sz w:val="24"/>
                <w:szCs w:val="24"/>
              </w:rPr>
            </w:pPr>
            <w:r>
              <w:rPr>
                <w:rFonts w:ascii="Verdana" w:hAnsi="Verdana" w:cs="宋体"/>
                <w:color w:val="000000"/>
                <w:sz w:val="24"/>
                <w:szCs w:val="24"/>
              </w:rPr>
              <w:t>采访及编目数据</w:t>
            </w:r>
            <w:r>
              <w:rPr>
                <w:rFonts w:hint="eastAsia" w:ascii="Verdana" w:hAnsi="Verdana" w:cs="宋体"/>
                <w:color w:val="000000"/>
                <w:sz w:val="24"/>
                <w:szCs w:val="24"/>
              </w:rPr>
              <w:t>（</w:t>
            </w:r>
            <w:r>
              <w:rPr>
                <w:rFonts w:hint="eastAsia" w:ascii="宋体" w:hAnsi="宋体" w:cs="宋体"/>
                <w:color w:val="000000"/>
                <w:sz w:val="24"/>
                <w:szCs w:val="24"/>
              </w:rPr>
              <w:t>6</w:t>
            </w:r>
            <w:r>
              <w:rPr>
                <w:rFonts w:hint="eastAsia" w:ascii="Verdana" w:hAnsi="Verdana" w:cs="宋体"/>
                <w:color w:val="000000"/>
                <w:sz w:val="24"/>
                <w:szCs w:val="24"/>
              </w:rPr>
              <w:t>分）：</w:t>
            </w:r>
          </w:p>
          <w:p>
            <w:pPr>
              <w:adjustRightInd w:val="0"/>
              <w:snapToGrid w:val="0"/>
              <w:spacing w:line="360" w:lineRule="auto"/>
              <w:rPr>
                <w:rFonts w:ascii="Verdana" w:hAnsi="Verdana" w:cs="宋体"/>
                <w:color w:val="000000"/>
                <w:sz w:val="24"/>
                <w:szCs w:val="24"/>
              </w:rPr>
            </w:pPr>
            <w:r>
              <w:rPr>
                <w:rFonts w:ascii="Verdana" w:hAnsi="Verdana" w:cs="宋体"/>
                <w:color w:val="000000"/>
                <w:sz w:val="24"/>
                <w:szCs w:val="24"/>
              </w:rPr>
              <w:t>全面及时提供纸质版和电子版期刊采访目录，得</w:t>
            </w:r>
            <w:r>
              <w:rPr>
                <w:rFonts w:hint="eastAsia" w:hAnsi="宋体" w:cs="宋体"/>
                <w:color w:val="000000"/>
                <w:sz w:val="24"/>
                <w:szCs w:val="24"/>
              </w:rPr>
              <w:t>3</w:t>
            </w:r>
            <w:r>
              <w:rPr>
                <w:rFonts w:ascii="Verdana" w:hAnsi="Verdana" w:cs="宋体"/>
                <w:color w:val="000000"/>
                <w:sz w:val="24"/>
                <w:szCs w:val="24"/>
              </w:rPr>
              <w:t>分；提供适合馆藏的完整期刊编目</w:t>
            </w:r>
            <w:r>
              <w:rPr>
                <w:rFonts w:hAnsi="宋体" w:cs="宋体"/>
                <w:color w:val="000000"/>
                <w:sz w:val="24"/>
                <w:szCs w:val="24"/>
              </w:rPr>
              <w:t>MARC数据，（附MARC</w:t>
            </w:r>
            <w:r>
              <w:rPr>
                <w:rFonts w:ascii="Verdana" w:hAnsi="Verdana" w:cs="宋体"/>
                <w:color w:val="000000"/>
                <w:sz w:val="24"/>
                <w:szCs w:val="24"/>
              </w:rPr>
              <w:t>详细加工样式）完</w:t>
            </w:r>
            <w:r>
              <w:rPr>
                <w:rFonts w:hint="eastAsia" w:ascii="Verdana" w:hAnsi="Verdana" w:cs="宋体"/>
                <w:color w:val="000000"/>
                <w:sz w:val="24"/>
                <w:szCs w:val="24"/>
              </w:rPr>
              <w:t>全</w:t>
            </w:r>
            <w:r>
              <w:rPr>
                <w:rFonts w:ascii="Verdana" w:hAnsi="Verdana" w:cs="宋体"/>
                <w:color w:val="000000"/>
                <w:sz w:val="24"/>
                <w:szCs w:val="24"/>
              </w:rPr>
              <w:t>符合得</w:t>
            </w:r>
            <w:r>
              <w:rPr>
                <w:rFonts w:hint="eastAsia" w:hAnsi="宋体" w:cs="宋体"/>
                <w:color w:val="000000"/>
                <w:sz w:val="24"/>
                <w:szCs w:val="24"/>
              </w:rPr>
              <w:t>3</w:t>
            </w:r>
            <w:r>
              <w:rPr>
                <w:rFonts w:ascii="Verdana" w:hAnsi="Verdana" w:cs="宋体"/>
                <w:color w:val="000000"/>
                <w:sz w:val="24"/>
                <w:szCs w:val="24"/>
              </w:rPr>
              <w:t>分。</w:t>
            </w:r>
          </w:p>
          <w:p>
            <w:pPr>
              <w:pStyle w:val="55"/>
              <w:numPr>
                <w:ilvl w:val="0"/>
                <w:numId w:val="6"/>
              </w:numPr>
              <w:adjustRightInd w:val="0"/>
              <w:snapToGrid w:val="0"/>
              <w:spacing w:line="360" w:lineRule="auto"/>
              <w:ind w:firstLineChars="0"/>
              <w:rPr>
                <w:rFonts w:hAnsi="宋体" w:cs="宋体"/>
                <w:bCs/>
                <w:spacing w:val="8"/>
                <w:sz w:val="24"/>
                <w:szCs w:val="24"/>
              </w:rPr>
            </w:pPr>
            <w:r>
              <w:rPr>
                <w:rFonts w:hint="eastAsia" w:hAnsi="宋体" w:cs="宋体"/>
                <w:sz w:val="24"/>
                <w:szCs w:val="24"/>
              </w:rPr>
              <w:t>送货承诺（5分）：</w:t>
            </w:r>
          </w:p>
          <w:p>
            <w:pPr>
              <w:adjustRightInd w:val="0"/>
              <w:snapToGrid w:val="0"/>
              <w:spacing w:line="360" w:lineRule="auto"/>
              <w:rPr>
                <w:rFonts w:hAnsi="宋体" w:cs="宋体"/>
                <w:bCs/>
                <w:spacing w:val="8"/>
                <w:sz w:val="24"/>
                <w:szCs w:val="24"/>
              </w:rPr>
            </w:pPr>
            <w:r>
              <w:rPr>
                <w:rFonts w:ascii="Verdana" w:hAnsi="Verdana" w:cs="宋体"/>
                <w:color w:val="000000"/>
                <w:sz w:val="24"/>
                <w:szCs w:val="24"/>
              </w:rPr>
              <w:t>投标人承诺提供送货到馆服务得</w:t>
            </w:r>
            <w:r>
              <w:rPr>
                <w:rFonts w:hAnsi="宋体" w:cs="宋体"/>
                <w:color w:val="000000"/>
                <w:sz w:val="24"/>
                <w:szCs w:val="24"/>
              </w:rPr>
              <w:t>3</w:t>
            </w:r>
            <w:r>
              <w:rPr>
                <w:rFonts w:ascii="Verdana" w:hAnsi="Verdana" w:cs="宋体"/>
                <w:color w:val="000000"/>
                <w:sz w:val="24"/>
                <w:szCs w:val="24"/>
              </w:rPr>
              <w:t>分；每周至少一次得</w:t>
            </w:r>
            <w:r>
              <w:rPr>
                <w:rFonts w:hAnsi="宋体" w:cs="宋体"/>
                <w:color w:val="000000"/>
                <w:sz w:val="24"/>
                <w:szCs w:val="24"/>
              </w:rPr>
              <w:t>2</w:t>
            </w:r>
            <w:r>
              <w:rPr>
                <w:rFonts w:ascii="Verdana" w:hAnsi="Verdana" w:cs="宋体"/>
                <w:color w:val="000000"/>
                <w:sz w:val="24"/>
                <w:szCs w:val="24"/>
              </w:rPr>
              <w:t>分。</w:t>
            </w:r>
          </w:p>
          <w:p>
            <w:pPr>
              <w:pStyle w:val="55"/>
              <w:numPr>
                <w:ilvl w:val="0"/>
                <w:numId w:val="6"/>
              </w:numPr>
              <w:adjustRightInd w:val="0"/>
              <w:snapToGrid w:val="0"/>
              <w:spacing w:line="360" w:lineRule="auto"/>
              <w:ind w:firstLineChars="0"/>
              <w:rPr>
                <w:rFonts w:hAnsi="宋体" w:cs="宋体"/>
                <w:bCs/>
                <w:spacing w:val="8"/>
                <w:sz w:val="24"/>
                <w:szCs w:val="24"/>
              </w:rPr>
            </w:pPr>
            <w:r>
              <w:rPr>
                <w:rFonts w:hint="eastAsia" w:hAnsi="宋体"/>
                <w:sz w:val="24"/>
                <w:szCs w:val="24"/>
              </w:rPr>
              <w:t>清单（3分</w:t>
            </w:r>
            <w:r>
              <w:rPr>
                <w:rFonts w:hAnsi="宋体"/>
                <w:sz w:val="24"/>
                <w:szCs w:val="24"/>
              </w:rPr>
              <w:t>）</w:t>
            </w:r>
            <w:r>
              <w:rPr>
                <w:rFonts w:hint="eastAsia" w:hAnsi="宋体"/>
                <w:sz w:val="24"/>
                <w:szCs w:val="24"/>
              </w:rPr>
              <w:t>：</w:t>
            </w:r>
          </w:p>
          <w:p>
            <w:pPr>
              <w:adjustRightInd w:val="0"/>
              <w:snapToGrid w:val="0"/>
              <w:spacing w:line="360" w:lineRule="auto"/>
              <w:rPr>
                <w:rFonts w:hAnsi="宋体" w:cs="宋体"/>
                <w:bCs/>
                <w:spacing w:val="8"/>
                <w:sz w:val="24"/>
                <w:szCs w:val="24"/>
              </w:rPr>
            </w:pPr>
            <w:r>
              <w:rPr>
                <w:rFonts w:ascii="Verdana" w:hAnsi="Verdana" w:cs="宋体"/>
                <w:color w:val="000000"/>
                <w:sz w:val="24"/>
                <w:szCs w:val="24"/>
              </w:rPr>
              <w:t>详尽（含总清单和包清单）得</w:t>
            </w:r>
            <w:r>
              <w:rPr>
                <w:rFonts w:hint="eastAsia" w:hAnsi="宋体" w:cs="宋体"/>
                <w:color w:val="000000"/>
                <w:sz w:val="24"/>
                <w:szCs w:val="24"/>
              </w:rPr>
              <w:t>3</w:t>
            </w:r>
            <w:r>
              <w:rPr>
                <w:rFonts w:ascii="Verdana" w:hAnsi="Verdana" w:cs="宋体"/>
                <w:color w:val="000000"/>
                <w:sz w:val="24"/>
                <w:szCs w:val="24"/>
              </w:rPr>
              <w:t>分，不提供得</w:t>
            </w:r>
            <w:r>
              <w:rPr>
                <w:rFonts w:hAnsi="宋体" w:cs="宋体"/>
                <w:color w:val="000000"/>
                <w:sz w:val="24"/>
                <w:szCs w:val="24"/>
              </w:rPr>
              <w:t>0</w:t>
            </w:r>
            <w:r>
              <w:rPr>
                <w:rFonts w:ascii="Verdana" w:hAnsi="Verdana" w:cs="宋体"/>
                <w:color w:val="000000"/>
                <w:sz w:val="24"/>
                <w:szCs w:val="24"/>
              </w:rPr>
              <w:t>分。</w:t>
            </w:r>
          </w:p>
          <w:p>
            <w:pPr>
              <w:pStyle w:val="55"/>
              <w:numPr>
                <w:ilvl w:val="0"/>
                <w:numId w:val="6"/>
              </w:numPr>
              <w:adjustRightInd w:val="0"/>
              <w:snapToGrid w:val="0"/>
              <w:spacing w:line="360" w:lineRule="auto"/>
              <w:ind w:firstLineChars="0"/>
              <w:rPr>
                <w:rFonts w:ascii="Verdana" w:hAnsi="Verdana" w:cs="宋体"/>
                <w:color w:val="000000"/>
                <w:sz w:val="24"/>
                <w:szCs w:val="24"/>
              </w:rPr>
            </w:pPr>
            <w:r>
              <w:rPr>
                <w:rFonts w:hint="eastAsia" w:ascii="Verdana" w:hAnsi="Verdana" w:cs="宋体"/>
                <w:color w:val="000000"/>
                <w:sz w:val="24"/>
                <w:szCs w:val="24"/>
              </w:rPr>
              <w:t>查询网站（</w:t>
            </w:r>
            <w:r>
              <w:rPr>
                <w:rFonts w:hint="eastAsia" w:hAnsi="宋体"/>
                <w:sz w:val="24"/>
                <w:szCs w:val="24"/>
              </w:rPr>
              <w:t>3分</w:t>
            </w:r>
            <w:r>
              <w:rPr>
                <w:rFonts w:hint="eastAsia" w:ascii="Verdana" w:hAnsi="Verdana" w:cs="宋体"/>
                <w:color w:val="000000"/>
                <w:sz w:val="24"/>
                <w:szCs w:val="24"/>
              </w:rPr>
              <w:t>）：</w:t>
            </w:r>
          </w:p>
          <w:p>
            <w:pPr>
              <w:adjustRightInd w:val="0"/>
              <w:snapToGrid w:val="0"/>
              <w:spacing w:line="360" w:lineRule="auto"/>
              <w:rPr>
                <w:rFonts w:ascii="Verdana" w:hAnsi="Verdana" w:cs="宋体"/>
                <w:color w:val="000000"/>
                <w:sz w:val="24"/>
                <w:szCs w:val="24"/>
              </w:rPr>
            </w:pPr>
            <w:r>
              <w:rPr>
                <w:rFonts w:ascii="Verdana" w:hAnsi="Verdana" w:cs="宋体"/>
                <w:color w:val="000000"/>
                <w:sz w:val="24"/>
                <w:szCs w:val="24"/>
              </w:rPr>
              <w:t>具有可查询发货信息等功能的商务网站得</w:t>
            </w:r>
            <w:r>
              <w:rPr>
                <w:rFonts w:hint="eastAsia" w:ascii="Times New Roman" w:hAnsi="宋体"/>
                <w:sz w:val="24"/>
                <w:szCs w:val="24"/>
              </w:rPr>
              <w:t>3</w:t>
            </w:r>
            <w:r>
              <w:rPr>
                <w:rFonts w:ascii="Times New Roman" w:hAnsi="宋体"/>
                <w:sz w:val="24"/>
                <w:szCs w:val="24"/>
              </w:rPr>
              <w:t>分</w:t>
            </w:r>
            <w:r>
              <w:rPr>
                <w:rFonts w:ascii="Verdana" w:hAnsi="Verdana" w:cs="宋体"/>
                <w:color w:val="000000"/>
                <w:sz w:val="24"/>
                <w:szCs w:val="24"/>
              </w:rPr>
              <w:t>，提供网站</w:t>
            </w:r>
            <w:r>
              <w:rPr>
                <w:rFonts w:hint="eastAsia" w:ascii="Verdana" w:hAnsi="Verdana" w:cs="宋体"/>
                <w:color w:val="000000"/>
                <w:sz w:val="24"/>
                <w:szCs w:val="24"/>
              </w:rPr>
              <w:t>截图</w:t>
            </w:r>
            <w:r>
              <w:rPr>
                <w:rFonts w:ascii="Verdana" w:hAnsi="Verdana" w:cs="宋体"/>
                <w:color w:val="000000"/>
                <w:sz w:val="24"/>
                <w:szCs w:val="24"/>
              </w:rPr>
              <w:t>，没有</w:t>
            </w:r>
            <w:r>
              <w:rPr>
                <w:rFonts w:hint="eastAsia" w:ascii="Verdana" w:hAnsi="Verdana" w:cs="宋体"/>
                <w:color w:val="000000"/>
                <w:sz w:val="24"/>
                <w:szCs w:val="24"/>
              </w:rPr>
              <w:t>得</w:t>
            </w:r>
            <w:r>
              <w:rPr>
                <w:rFonts w:hint="eastAsia" w:ascii="Times New Roman" w:hAnsi="宋体"/>
                <w:sz w:val="24"/>
                <w:szCs w:val="24"/>
              </w:rPr>
              <w:t>0分</w:t>
            </w:r>
            <w:r>
              <w:rPr>
                <w:rFonts w:ascii="Verdana" w:hAnsi="Verdana" w:cs="宋体"/>
                <w:color w:val="000000"/>
                <w:sz w:val="24"/>
                <w:szCs w:val="24"/>
              </w:rPr>
              <w:t>。</w:t>
            </w:r>
          </w:p>
          <w:p>
            <w:pPr>
              <w:pStyle w:val="55"/>
              <w:numPr>
                <w:ilvl w:val="0"/>
                <w:numId w:val="6"/>
              </w:numPr>
              <w:adjustRightInd w:val="0"/>
              <w:snapToGrid w:val="0"/>
              <w:spacing w:line="360" w:lineRule="auto"/>
              <w:ind w:firstLineChars="0"/>
              <w:rPr>
                <w:rFonts w:hAnsi="宋体" w:cs="宋体"/>
                <w:bCs/>
                <w:spacing w:val="8"/>
                <w:sz w:val="24"/>
                <w:szCs w:val="24"/>
              </w:rPr>
            </w:pPr>
            <w:r>
              <w:rPr>
                <w:rFonts w:hint="eastAsia" w:hAnsi="宋体"/>
                <w:sz w:val="24"/>
                <w:szCs w:val="24"/>
              </w:rPr>
              <w:t>到刊率（5分）：</w:t>
            </w:r>
          </w:p>
          <w:p>
            <w:pPr>
              <w:adjustRightInd w:val="0"/>
              <w:snapToGrid w:val="0"/>
              <w:spacing w:line="360" w:lineRule="auto"/>
              <w:rPr>
                <w:rFonts w:hAnsi="宋体" w:cs="宋体"/>
                <w:bCs/>
                <w:spacing w:val="8"/>
                <w:sz w:val="24"/>
                <w:szCs w:val="24"/>
              </w:rPr>
            </w:pPr>
            <w:r>
              <w:rPr>
                <w:rFonts w:ascii="Verdana" w:hAnsi="Verdana" w:cs="宋体"/>
                <w:color w:val="000000"/>
                <w:sz w:val="24"/>
                <w:szCs w:val="24"/>
              </w:rPr>
              <w:t>提供五家上年度合作单位到刊率，到货全达到</w:t>
            </w:r>
            <w:r>
              <w:rPr>
                <w:rFonts w:hAnsi="宋体" w:cs="宋体"/>
                <w:color w:val="000000"/>
                <w:sz w:val="24"/>
                <w:szCs w:val="24"/>
              </w:rPr>
              <w:t>99%</w:t>
            </w:r>
            <w:r>
              <w:rPr>
                <w:rFonts w:ascii="Verdana" w:hAnsi="Verdana" w:cs="宋体"/>
                <w:color w:val="000000"/>
                <w:sz w:val="24"/>
                <w:szCs w:val="24"/>
              </w:rPr>
              <w:t>及以上得</w:t>
            </w:r>
            <w:r>
              <w:rPr>
                <w:rFonts w:hAnsi="宋体" w:cs="宋体"/>
                <w:color w:val="000000"/>
                <w:sz w:val="24"/>
                <w:szCs w:val="24"/>
              </w:rPr>
              <w:t>5</w:t>
            </w:r>
            <w:r>
              <w:rPr>
                <w:rFonts w:ascii="Verdana" w:hAnsi="Verdana" w:cs="宋体"/>
                <w:color w:val="000000"/>
                <w:sz w:val="24"/>
                <w:szCs w:val="24"/>
              </w:rPr>
              <w:t>分，其余不得分。</w:t>
            </w:r>
          </w:p>
          <w:p>
            <w:pPr>
              <w:pStyle w:val="55"/>
              <w:numPr>
                <w:ilvl w:val="0"/>
                <w:numId w:val="6"/>
              </w:numPr>
              <w:adjustRightInd w:val="0"/>
              <w:snapToGrid w:val="0"/>
              <w:spacing w:line="360" w:lineRule="auto"/>
              <w:ind w:firstLineChars="0"/>
              <w:rPr>
                <w:rFonts w:hAnsi="宋体" w:cs="宋体"/>
                <w:bCs/>
                <w:spacing w:val="8"/>
                <w:sz w:val="24"/>
                <w:szCs w:val="24"/>
              </w:rPr>
            </w:pPr>
            <w:r>
              <w:rPr>
                <w:rFonts w:ascii="Verdana" w:hAnsi="Verdana" w:cs="宋体"/>
                <w:color w:val="000000"/>
                <w:sz w:val="24"/>
                <w:szCs w:val="24"/>
              </w:rPr>
              <w:t>催缺工作</w:t>
            </w:r>
            <w:r>
              <w:rPr>
                <w:rFonts w:hint="eastAsia" w:ascii="Verdana" w:hAnsi="Verdana" w:cs="宋体"/>
                <w:color w:val="000000"/>
                <w:sz w:val="24"/>
                <w:szCs w:val="24"/>
              </w:rPr>
              <w:t>（</w:t>
            </w:r>
            <w:r>
              <w:rPr>
                <w:rFonts w:hint="eastAsia" w:ascii="宋体" w:hAnsi="宋体" w:cs="宋体"/>
                <w:color w:val="000000"/>
                <w:sz w:val="24"/>
                <w:szCs w:val="24"/>
              </w:rPr>
              <w:t>6</w:t>
            </w:r>
            <w:r>
              <w:rPr>
                <w:rFonts w:hint="eastAsia" w:ascii="Verdana" w:hAnsi="Verdana" w:cs="宋体"/>
                <w:color w:val="000000"/>
                <w:sz w:val="24"/>
                <w:szCs w:val="24"/>
              </w:rPr>
              <w:t>分）：</w:t>
            </w:r>
          </w:p>
          <w:p>
            <w:pPr>
              <w:adjustRightInd w:val="0"/>
              <w:snapToGrid w:val="0"/>
              <w:spacing w:line="360" w:lineRule="auto"/>
              <w:rPr>
                <w:rFonts w:hAnsi="宋体" w:cs="宋体"/>
                <w:bCs/>
                <w:spacing w:val="8"/>
                <w:sz w:val="24"/>
                <w:szCs w:val="24"/>
              </w:rPr>
            </w:pPr>
            <w:r>
              <w:rPr>
                <w:rFonts w:ascii="Verdana" w:hAnsi="Verdana" w:cs="宋体"/>
                <w:color w:val="000000"/>
                <w:sz w:val="24"/>
                <w:szCs w:val="24"/>
              </w:rPr>
              <w:t>有详细的查缺安排计划，按照查缺安排计划打分，每少一项扣</w:t>
            </w:r>
            <w:r>
              <w:rPr>
                <w:rFonts w:hAnsi="宋体" w:cs="宋体"/>
                <w:color w:val="000000"/>
                <w:sz w:val="24"/>
                <w:szCs w:val="24"/>
              </w:rPr>
              <w:t>2</w:t>
            </w:r>
            <w:r>
              <w:rPr>
                <w:rFonts w:ascii="Verdana" w:hAnsi="Verdana" w:cs="宋体"/>
                <w:color w:val="000000"/>
                <w:sz w:val="24"/>
                <w:szCs w:val="24"/>
              </w:rPr>
              <w:t>分，扣完为止。</w:t>
            </w:r>
          </w:p>
          <w:p>
            <w:pPr>
              <w:pStyle w:val="55"/>
              <w:numPr>
                <w:ilvl w:val="0"/>
                <w:numId w:val="6"/>
              </w:numPr>
              <w:adjustRightInd w:val="0"/>
              <w:snapToGrid w:val="0"/>
              <w:spacing w:line="360" w:lineRule="auto"/>
              <w:ind w:firstLineChars="0"/>
              <w:rPr>
                <w:rFonts w:ascii="宋体" w:hAnsi="宋体" w:cs="宋体"/>
                <w:bCs/>
                <w:spacing w:val="8"/>
                <w:sz w:val="24"/>
                <w:szCs w:val="24"/>
              </w:rPr>
            </w:pPr>
            <w:r>
              <w:rPr>
                <w:rFonts w:ascii="宋体" w:hAnsi="宋体" w:cs="宋体"/>
                <w:color w:val="000000"/>
                <w:sz w:val="24"/>
                <w:szCs w:val="24"/>
              </w:rPr>
              <w:t>投标文件规范性</w:t>
            </w:r>
            <w:r>
              <w:rPr>
                <w:rFonts w:hint="eastAsia" w:ascii="宋体" w:hAnsi="宋体" w:cs="宋体"/>
                <w:color w:val="000000"/>
                <w:sz w:val="24"/>
                <w:szCs w:val="24"/>
              </w:rPr>
              <w:t>（2分）：</w:t>
            </w:r>
          </w:p>
          <w:p>
            <w:pPr>
              <w:adjustRightInd w:val="0"/>
              <w:snapToGrid w:val="0"/>
              <w:spacing w:line="360" w:lineRule="auto"/>
              <w:rPr>
                <w:rFonts w:hAnsi="宋体" w:cs="宋体"/>
                <w:bCs/>
                <w:spacing w:val="8"/>
                <w:sz w:val="24"/>
                <w:szCs w:val="24"/>
              </w:rPr>
            </w:pPr>
            <w:r>
              <w:rPr>
                <w:rFonts w:hAnsi="宋体" w:cs="宋体"/>
                <w:color w:val="000000"/>
                <w:sz w:val="24"/>
                <w:szCs w:val="24"/>
              </w:rPr>
              <w:t>评标委员会对供应商所提供的投标文件的编制情况进行比较，最高可为2分，可并列，一般得1分，差的为0分。</w:t>
            </w:r>
          </w:p>
          <w:p>
            <w:pPr>
              <w:pStyle w:val="55"/>
              <w:numPr>
                <w:ilvl w:val="0"/>
                <w:numId w:val="6"/>
              </w:numPr>
              <w:adjustRightInd w:val="0"/>
              <w:snapToGrid w:val="0"/>
              <w:spacing w:line="360" w:lineRule="auto"/>
              <w:ind w:firstLineChars="0"/>
              <w:rPr>
                <w:rFonts w:ascii="宋体" w:hAnsi="宋体" w:cs="宋体"/>
                <w:bCs/>
                <w:spacing w:val="8"/>
                <w:sz w:val="24"/>
                <w:szCs w:val="24"/>
              </w:rPr>
            </w:pPr>
            <w:r>
              <w:rPr>
                <w:rFonts w:hint="eastAsia" w:ascii="宋体" w:hAnsi="宋体" w:cs="宋体"/>
                <w:bCs/>
                <w:color w:val="000000" w:themeColor="text1"/>
                <w:spacing w:val="8"/>
                <w:sz w:val="24"/>
                <w:szCs w:val="24"/>
                <w14:textFill>
                  <w14:solidFill>
                    <w14:schemeClr w14:val="tx1"/>
                  </w14:solidFill>
                </w14:textFill>
              </w:rPr>
              <w:t>期刊质量（10分）</w:t>
            </w:r>
            <w:r>
              <w:rPr>
                <w:rFonts w:hint="eastAsia" w:hAnsi="宋体" w:cs="宋体"/>
                <w:bCs/>
                <w:color w:val="000000" w:themeColor="text1"/>
                <w:spacing w:val="8"/>
                <w:sz w:val="24"/>
                <w:szCs w:val="24"/>
                <w14:textFill>
                  <w14:solidFill>
                    <w14:schemeClr w14:val="tx1"/>
                  </w14:solidFill>
                </w14:textFill>
              </w:rPr>
              <w:t>：</w:t>
            </w:r>
          </w:p>
          <w:p>
            <w:pPr>
              <w:adjustRightInd w:val="0"/>
              <w:snapToGrid w:val="0"/>
              <w:spacing w:line="360" w:lineRule="auto"/>
              <w:rPr>
                <w:rFonts w:hAnsi="宋体" w:cs="宋体"/>
                <w:bCs/>
                <w:spacing w:val="8"/>
                <w:sz w:val="24"/>
                <w:szCs w:val="24"/>
              </w:rPr>
            </w:pPr>
            <w:r>
              <w:rPr>
                <w:rFonts w:hint="eastAsia" w:hAnsi="宋体" w:cs="宋体"/>
                <w:bCs/>
                <w:color w:val="000000" w:themeColor="text1"/>
                <w:spacing w:val="8"/>
                <w:sz w:val="24"/>
                <w:szCs w:val="24"/>
                <w14:textFill>
                  <w14:solidFill>
                    <w14:schemeClr w14:val="tx1"/>
                  </w14:solidFill>
                </w14:textFill>
              </w:rPr>
              <w:t>产品质量及验收完全符合招标项目技术相关要求得</w:t>
            </w:r>
            <w:r>
              <w:rPr>
                <w:rFonts w:hAnsi="宋体" w:cs="宋体"/>
                <w:bCs/>
                <w:color w:val="000000" w:themeColor="text1"/>
                <w:spacing w:val="8"/>
                <w:sz w:val="24"/>
                <w:szCs w:val="24"/>
                <w14:textFill>
                  <w14:solidFill>
                    <w14:schemeClr w14:val="tx1"/>
                  </w14:solidFill>
                </w14:textFill>
              </w:rPr>
              <w:t xml:space="preserve"> </w:t>
            </w:r>
            <w:r>
              <w:rPr>
                <w:rFonts w:hint="eastAsia" w:hAnsi="宋体" w:cs="宋体"/>
                <w:bCs/>
                <w:color w:val="000000" w:themeColor="text1"/>
                <w:spacing w:val="8"/>
                <w:sz w:val="24"/>
                <w:szCs w:val="24"/>
                <w14:textFill>
                  <w14:solidFill>
                    <w14:schemeClr w14:val="tx1"/>
                  </w14:solidFill>
                </w14:textFill>
              </w:rPr>
              <w:t>5-10</w:t>
            </w:r>
            <w:r>
              <w:rPr>
                <w:rFonts w:hAnsi="宋体" w:cs="宋体"/>
                <w:bCs/>
                <w:color w:val="000000" w:themeColor="text1"/>
                <w:spacing w:val="8"/>
                <w:sz w:val="24"/>
                <w:szCs w:val="24"/>
                <w14:textFill>
                  <w14:solidFill>
                    <w14:schemeClr w14:val="tx1"/>
                  </w14:solidFill>
                </w14:textFill>
              </w:rPr>
              <w:t xml:space="preserve"> 分；</w:t>
            </w:r>
            <w:r>
              <w:rPr>
                <w:rFonts w:hint="eastAsia" w:hAnsi="宋体" w:cs="宋体"/>
                <w:bCs/>
                <w:color w:val="000000" w:themeColor="text1"/>
                <w:spacing w:val="8"/>
                <w:sz w:val="24"/>
                <w:szCs w:val="24"/>
                <w14:textFill>
                  <w14:solidFill>
                    <w14:schemeClr w14:val="tx1"/>
                  </w14:solidFill>
                </w14:textFill>
              </w:rPr>
              <w:t>产品质量及验收基本符合招标项目技术相关要求</w:t>
            </w:r>
            <w:r>
              <w:rPr>
                <w:rFonts w:hAnsi="宋体" w:cs="宋体"/>
                <w:bCs/>
                <w:color w:val="000000" w:themeColor="text1"/>
                <w:spacing w:val="8"/>
                <w:sz w:val="24"/>
                <w:szCs w:val="24"/>
                <w14:textFill>
                  <w14:solidFill>
                    <w14:schemeClr w14:val="tx1"/>
                  </w14:solidFill>
                </w14:textFill>
              </w:rPr>
              <w:t>得</w:t>
            </w:r>
            <w:r>
              <w:rPr>
                <w:rFonts w:hint="eastAsia" w:hAnsi="宋体" w:cs="宋体"/>
                <w:bCs/>
                <w:color w:val="000000" w:themeColor="text1"/>
                <w:spacing w:val="8"/>
                <w:sz w:val="24"/>
                <w:szCs w:val="24"/>
                <w14:textFill>
                  <w14:solidFill>
                    <w14:schemeClr w14:val="tx1"/>
                  </w14:solidFill>
                </w14:textFill>
              </w:rPr>
              <w:t>0-5</w:t>
            </w:r>
            <w:r>
              <w:rPr>
                <w:rFonts w:hAnsi="宋体" w:cs="宋体"/>
                <w:bCs/>
                <w:color w:val="000000" w:themeColor="text1"/>
                <w:spacing w:val="8"/>
                <w:sz w:val="24"/>
                <w:szCs w:val="24"/>
                <w14:textFill>
                  <w14:solidFill>
                    <w14:schemeClr w14:val="tx1"/>
                  </w14:solidFill>
                </w14:textFill>
              </w:rPr>
              <w:t xml:space="preserve"> 分；</w:t>
            </w:r>
            <w:r>
              <w:rPr>
                <w:rFonts w:hint="eastAsia" w:hAnsi="宋体" w:cs="宋体"/>
                <w:bCs/>
                <w:color w:val="000000" w:themeColor="text1"/>
                <w:spacing w:val="8"/>
                <w:sz w:val="24"/>
                <w:szCs w:val="24"/>
                <w14:textFill>
                  <w14:solidFill>
                    <w14:schemeClr w14:val="tx1"/>
                  </w14:solidFill>
                </w14:textFill>
              </w:rPr>
              <w:t>产品质量及验收某方面不能符合招标项目技术相关要求</w:t>
            </w:r>
            <w:r>
              <w:rPr>
                <w:rFonts w:hAnsi="宋体" w:cs="宋体"/>
                <w:bCs/>
                <w:color w:val="000000" w:themeColor="text1"/>
                <w:spacing w:val="8"/>
                <w:sz w:val="24"/>
                <w:szCs w:val="24"/>
                <w14:textFill>
                  <w14:solidFill>
                    <w14:schemeClr w14:val="tx1"/>
                  </w14:solidFill>
                </w14:textFill>
              </w:rPr>
              <w:t xml:space="preserve">得 </w:t>
            </w:r>
            <w:r>
              <w:rPr>
                <w:rFonts w:hint="eastAsia" w:hAnsi="宋体" w:cs="宋体"/>
                <w:bCs/>
                <w:color w:val="000000" w:themeColor="text1"/>
                <w:spacing w:val="8"/>
                <w:sz w:val="24"/>
                <w:szCs w:val="24"/>
                <w14:textFill>
                  <w14:solidFill>
                    <w14:schemeClr w14:val="tx1"/>
                  </w14:solidFill>
                </w14:textFill>
              </w:rPr>
              <w:t>0</w:t>
            </w:r>
            <w:r>
              <w:rPr>
                <w:rFonts w:hAnsi="宋体" w:cs="宋体"/>
                <w:bCs/>
                <w:color w:val="000000" w:themeColor="text1"/>
                <w:spacing w:val="8"/>
                <w:sz w:val="24"/>
                <w:szCs w:val="24"/>
                <w14:textFill>
                  <w14:solidFill>
                    <w14:schemeClr w14:val="tx1"/>
                  </w14:solidFill>
                </w14:textFill>
              </w:rPr>
              <w:t xml:space="preserve"> 分。</w:t>
            </w:r>
            <w:r>
              <w:rPr>
                <w:rFonts w:hint="eastAsia" w:hAnsi="宋体" w:cs="宋体"/>
                <w:bCs/>
                <w:color w:val="000000" w:themeColor="text1"/>
                <w:spacing w:val="8"/>
                <w:sz w:val="24"/>
                <w:szCs w:val="24"/>
                <w14:textFill>
                  <w14:solidFill>
                    <w14:schemeClr w14:val="tx1"/>
                  </w14:solidFill>
                </w14:textFill>
              </w:rPr>
              <w:t>主要</w:t>
            </w:r>
            <w:r>
              <w:rPr>
                <w:rFonts w:hAnsi="宋体" w:cs="宋体"/>
                <w:bCs/>
                <w:color w:val="000000" w:themeColor="text1"/>
                <w:spacing w:val="8"/>
                <w:sz w:val="24"/>
                <w:szCs w:val="24"/>
                <w14:textFill>
                  <w14:solidFill>
                    <w14:schemeClr w14:val="tx1"/>
                  </w14:solidFill>
                </w14:textFill>
              </w:rPr>
              <w:t>技术性能</w:t>
            </w:r>
            <w:r>
              <w:rPr>
                <w:rFonts w:hint="eastAsia" w:hAnsi="宋体" w:cs="宋体"/>
                <w:bCs/>
                <w:color w:val="000000" w:themeColor="text1"/>
                <w:spacing w:val="8"/>
                <w:sz w:val="24"/>
                <w:szCs w:val="24"/>
                <w14:textFill>
                  <w14:solidFill>
                    <w14:schemeClr w14:val="tx1"/>
                  </w14:solidFill>
                </w14:textFill>
              </w:rPr>
              <w:t>见第四章“招标项目技术、商务及其他要求”</w:t>
            </w:r>
            <w:r>
              <w:rPr>
                <w:rFonts w:hAnsi="宋体" w:cs="宋体"/>
                <w:bCs/>
                <w:color w:val="000000" w:themeColor="text1"/>
                <w:spacing w:val="8"/>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9358" w:type="dxa"/>
            <w:gridSpan w:val="12"/>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三</w:t>
            </w:r>
            <w:r>
              <w:rPr>
                <w:rFonts w:hAnsi="宋体" w:cs="宋体"/>
                <w:bCs/>
                <w:spacing w:val="8"/>
                <w:sz w:val="24"/>
                <w:szCs w:val="24"/>
              </w:rPr>
              <w:t xml:space="preserve">、商务部分（满分 </w:t>
            </w:r>
            <w:r>
              <w:rPr>
                <w:rFonts w:hint="eastAsia" w:hAnsi="宋体" w:cs="宋体"/>
                <w:bCs/>
                <w:spacing w:val="8"/>
                <w:sz w:val="24"/>
                <w:szCs w:val="24"/>
              </w:rPr>
              <w:t>30</w:t>
            </w:r>
            <w:r>
              <w:rPr>
                <w:rFonts w:hAnsi="宋体" w:cs="宋体"/>
                <w:bCs/>
                <w:spacing w:val="8"/>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CellSpacing w:w="0" w:type="dxa"/>
        </w:trPr>
        <w:tc>
          <w:tcPr>
            <w:tcW w:w="9358" w:type="dxa"/>
            <w:gridSpan w:val="12"/>
            <w:vAlign w:val="center"/>
          </w:tcPr>
          <w:p>
            <w:pPr>
              <w:adjustRightInd w:val="0"/>
              <w:snapToGrid w:val="0"/>
              <w:spacing w:line="360" w:lineRule="auto"/>
              <w:ind w:firstLine="481" w:firstLineChars="188"/>
              <w:jc w:val="center"/>
              <w:rPr>
                <w:rFonts w:hAnsi="宋体" w:cs="宋体"/>
                <w:bCs/>
                <w:spacing w:val="8"/>
                <w:sz w:val="24"/>
                <w:szCs w:val="24"/>
              </w:rPr>
            </w:pPr>
            <w:r>
              <w:rPr>
                <w:rFonts w:hAnsi="宋体" w:cs="宋体"/>
                <w:bCs/>
                <w:spacing w:val="8"/>
                <w:sz w:val="24"/>
                <w:szCs w:val="24"/>
              </w:rPr>
              <w:t>综合商务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gridSpan w:val="3"/>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1</w:t>
            </w:r>
          </w:p>
        </w:tc>
        <w:tc>
          <w:tcPr>
            <w:tcW w:w="1490" w:type="dxa"/>
            <w:gridSpan w:val="2"/>
            <w:vAlign w:val="center"/>
          </w:tcPr>
          <w:p>
            <w:pPr>
              <w:adjustRightInd w:val="0"/>
              <w:snapToGrid w:val="0"/>
              <w:spacing w:line="360" w:lineRule="auto"/>
              <w:ind w:firstLine="481" w:firstLineChars="188"/>
              <w:rPr>
                <w:rFonts w:hAnsi="宋体" w:cs="宋体"/>
                <w:bCs/>
                <w:spacing w:val="8"/>
                <w:sz w:val="24"/>
                <w:szCs w:val="24"/>
              </w:rPr>
            </w:pPr>
            <w:r>
              <w:rPr>
                <w:rFonts w:hAnsi="宋体" w:cs="宋体"/>
                <w:bCs/>
                <w:spacing w:val="8"/>
                <w:sz w:val="24"/>
                <w:szCs w:val="24"/>
              </w:rPr>
              <w:t>业绩</w:t>
            </w:r>
          </w:p>
        </w:tc>
        <w:tc>
          <w:tcPr>
            <w:tcW w:w="1048" w:type="dxa"/>
            <w:gridSpan w:val="4"/>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10</w:t>
            </w:r>
          </w:p>
        </w:tc>
        <w:tc>
          <w:tcPr>
            <w:tcW w:w="6118" w:type="dxa"/>
            <w:gridSpan w:val="3"/>
            <w:vAlign w:val="center"/>
          </w:tcPr>
          <w:p>
            <w:pPr>
              <w:adjustRightInd w:val="0"/>
              <w:snapToGrid w:val="0"/>
              <w:spacing w:line="360" w:lineRule="auto"/>
              <w:jc w:val="left"/>
              <w:rPr>
                <w:rFonts w:hAnsi="宋体" w:cs="宋体"/>
                <w:bCs/>
                <w:spacing w:val="8"/>
                <w:sz w:val="24"/>
                <w:szCs w:val="24"/>
              </w:rPr>
            </w:pPr>
            <w:r>
              <w:rPr>
                <w:rFonts w:hint="eastAsia" w:hAnsi="宋体" w:cs="宋体"/>
                <w:color w:val="000000"/>
                <w:sz w:val="24"/>
                <w:szCs w:val="24"/>
              </w:rPr>
              <w:t>提供</w:t>
            </w:r>
            <w:r>
              <w:rPr>
                <w:rFonts w:hint="eastAsia" w:hAnsi="宋体" w:cs="宋体"/>
                <w:color w:val="000000" w:themeColor="text1"/>
                <w:sz w:val="24"/>
                <w:szCs w:val="24"/>
                <w14:textFill>
                  <w14:solidFill>
                    <w14:schemeClr w14:val="tx1"/>
                  </w14:solidFill>
                </w14:textFill>
              </w:rPr>
              <w:t>2020</w:t>
            </w:r>
            <w:r>
              <w:rPr>
                <w:rFonts w:hint="eastAsia" w:hAnsi="宋体" w:cs="宋体"/>
                <w:color w:val="000000"/>
                <w:sz w:val="24"/>
                <w:szCs w:val="24"/>
              </w:rPr>
              <w:t>年</w:t>
            </w:r>
            <w:r>
              <w:rPr>
                <w:rFonts w:hAnsi="宋体" w:cs="宋体"/>
                <w:color w:val="000000"/>
                <w:sz w:val="24"/>
                <w:szCs w:val="24"/>
              </w:rPr>
              <w:t>以来（含</w:t>
            </w:r>
            <w:r>
              <w:rPr>
                <w:rFonts w:hAnsi="宋体" w:cs="宋体"/>
                <w:color w:val="000000" w:themeColor="text1"/>
                <w:sz w:val="24"/>
                <w:szCs w:val="24"/>
                <w14:textFill>
                  <w14:solidFill>
                    <w14:schemeClr w14:val="tx1"/>
                  </w14:solidFill>
                </w14:textFill>
              </w:rPr>
              <w:t>20</w:t>
            </w:r>
            <w:r>
              <w:rPr>
                <w:rFonts w:hint="eastAsia" w:hAnsi="宋体" w:cs="宋体"/>
                <w:color w:val="000000" w:themeColor="text1"/>
                <w:sz w:val="24"/>
                <w:szCs w:val="24"/>
                <w14:textFill>
                  <w14:solidFill>
                    <w14:schemeClr w14:val="tx1"/>
                  </w14:solidFill>
                </w14:textFill>
              </w:rPr>
              <w:t>20</w:t>
            </w:r>
            <w:r>
              <w:rPr>
                <w:rFonts w:hAnsi="宋体" w:cs="宋体"/>
                <w:color w:val="000000"/>
                <w:sz w:val="24"/>
                <w:szCs w:val="24"/>
              </w:rPr>
              <w:t>年）与类</w:t>
            </w:r>
            <w:r>
              <w:rPr>
                <w:rFonts w:hint="eastAsia" w:hAnsi="宋体" w:cs="宋体"/>
                <w:color w:val="000000"/>
                <w:sz w:val="24"/>
                <w:szCs w:val="24"/>
              </w:rPr>
              <w:t>似</w:t>
            </w:r>
            <w:r>
              <w:rPr>
                <w:rFonts w:hAnsi="宋体" w:cs="宋体"/>
                <w:color w:val="000000"/>
                <w:sz w:val="24"/>
                <w:szCs w:val="24"/>
              </w:rPr>
              <w:t>项目合作单位数量，1</w:t>
            </w:r>
            <w:r>
              <w:rPr>
                <w:rFonts w:hint="eastAsia" w:hAnsi="宋体" w:cs="宋体"/>
                <w:color w:val="000000"/>
                <w:sz w:val="24"/>
                <w:szCs w:val="24"/>
              </w:rPr>
              <w:t>0</w:t>
            </w:r>
            <w:r>
              <w:rPr>
                <w:rFonts w:hAnsi="宋体" w:cs="宋体"/>
                <w:color w:val="000000"/>
                <w:sz w:val="24"/>
                <w:szCs w:val="24"/>
              </w:rPr>
              <w:t>家及以上得</w:t>
            </w:r>
            <w:r>
              <w:rPr>
                <w:rFonts w:hint="eastAsia" w:hAnsi="宋体" w:cs="宋体"/>
                <w:color w:val="000000"/>
                <w:sz w:val="24"/>
                <w:szCs w:val="24"/>
              </w:rPr>
              <w:t>10</w:t>
            </w:r>
            <w:r>
              <w:rPr>
                <w:rFonts w:hAnsi="宋体" w:cs="宋体"/>
                <w:color w:val="000000"/>
                <w:sz w:val="24"/>
                <w:szCs w:val="24"/>
              </w:rPr>
              <w:t>分，5-9家得</w:t>
            </w:r>
            <w:r>
              <w:rPr>
                <w:rFonts w:hint="eastAsia" w:hAnsi="宋体" w:cs="宋体"/>
                <w:color w:val="000000"/>
                <w:sz w:val="24"/>
                <w:szCs w:val="24"/>
              </w:rPr>
              <w:t>5</w:t>
            </w:r>
            <w:r>
              <w:rPr>
                <w:rFonts w:hAnsi="宋体" w:cs="宋体"/>
                <w:color w:val="000000"/>
                <w:sz w:val="24"/>
                <w:szCs w:val="24"/>
              </w:rPr>
              <w:t>分，1-4家得</w:t>
            </w:r>
            <w:r>
              <w:rPr>
                <w:rFonts w:hint="eastAsia" w:hAnsi="宋体" w:cs="宋体"/>
                <w:color w:val="000000"/>
                <w:sz w:val="24"/>
                <w:szCs w:val="24"/>
              </w:rPr>
              <w:t>2</w:t>
            </w:r>
            <w:r>
              <w:rPr>
                <w:rFonts w:hAnsi="宋体" w:cs="宋体"/>
                <w:color w:val="000000"/>
                <w:sz w:val="24"/>
                <w:szCs w:val="24"/>
              </w:rPr>
              <w:t>分，没有得0分。（相同业主不同年度分别计</w:t>
            </w:r>
            <w:r>
              <w:rPr>
                <w:rFonts w:ascii="Verdana" w:hAnsi="Verdana" w:cs="宋体"/>
                <w:color w:val="000000"/>
                <w:sz w:val="24"/>
                <w:szCs w:val="24"/>
              </w:rPr>
              <w:t>算；须提供合作协议书复印件及合作方联系方式，未提供的得</w:t>
            </w:r>
            <w:r>
              <w:rPr>
                <w:rFonts w:hint="eastAsia" w:hAnsi="宋体"/>
                <w:sz w:val="24"/>
              </w:rPr>
              <w:t>0</w:t>
            </w:r>
            <w:r>
              <w:rPr>
                <w:rFonts w:hAnsi="宋体"/>
                <w:sz w:val="24"/>
              </w:rPr>
              <w:t>分</w:t>
            </w:r>
            <w:r>
              <w:rPr>
                <w:rFonts w:ascii="Verdana" w:hAnsi="Verdana"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2" w:hRule="atLeast"/>
          <w:tblCellSpacing w:w="0" w:type="dxa"/>
        </w:trPr>
        <w:tc>
          <w:tcPr>
            <w:tcW w:w="702" w:type="dxa"/>
            <w:gridSpan w:val="3"/>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2</w:t>
            </w:r>
          </w:p>
        </w:tc>
        <w:tc>
          <w:tcPr>
            <w:tcW w:w="1490" w:type="dxa"/>
            <w:gridSpan w:val="2"/>
            <w:vAlign w:val="center"/>
          </w:tcPr>
          <w:p>
            <w:pPr>
              <w:adjustRightInd w:val="0"/>
              <w:snapToGrid w:val="0"/>
              <w:spacing w:line="360" w:lineRule="auto"/>
              <w:jc w:val="center"/>
              <w:rPr>
                <w:rFonts w:hAnsi="宋体" w:cs="宋体"/>
                <w:bCs/>
                <w:spacing w:val="8"/>
                <w:sz w:val="24"/>
                <w:szCs w:val="24"/>
              </w:rPr>
            </w:pPr>
            <w:r>
              <w:rPr>
                <w:rFonts w:hint="eastAsia" w:hAnsi="宋体"/>
                <w:sz w:val="24"/>
                <w:szCs w:val="24"/>
              </w:rPr>
              <w:t>服务能力</w:t>
            </w:r>
          </w:p>
          <w:p>
            <w:pPr>
              <w:adjustRightInd w:val="0"/>
              <w:snapToGrid w:val="0"/>
              <w:spacing w:line="360" w:lineRule="auto"/>
              <w:jc w:val="center"/>
              <w:rPr>
                <w:rFonts w:hAnsi="宋体" w:cs="宋体"/>
                <w:bCs/>
                <w:spacing w:val="8"/>
                <w:sz w:val="24"/>
                <w:szCs w:val="24"/>
              </w:rPr>
            </w:pPr>
          </w:p>
        </w:tc>
        <w:tc>
          <w:tcPr>
            <w:tcW w:w="1048" w:type="dxa"/>
            <w:gridSpan w:val="4"/>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9</w:t>
            </w:r>
          </w:p>
        </w:tc>
        <w:tc>
          <w:tcPr>
            <w:tcW w:w="6118" w:type="dxa"/>
            <w:gridSpan w:val="3"/>
            <w:vAlign w:val="center"/>
          </w:tcPr>
          <w:p>
            <w:pPr>
              <w:autoSpaceDE w:val="0"/>
              <w:autoSpaceDN w:val="0"/>
              <w:rPr>
                <w:rFonts w:cs="宋体"/>
                <w:sz w:val="24"/>
                <w:szCs w:val="24"/>
              </w:rPr>
            </w:pPr>
            <w:r>
              <w:rPr>
                <w:rFonts w:hint="eastAsia" w:hAnsi="宋体"/>
                <w:sz w:val="24"/>
                <w:szCs w:val="24"/>
              </w:rPr>
              <w:t>1、提供至少6名国家图书馆颁发的全国图书馆联合编目中心资格证书的得3分，未提供得0分。此基础上，提供与国家图书馆签订的全国图书馆联合编目中心用户上传及下载协议书的得3分。</w:t>
            </w:r>
          </w:p>
          <w:p>
            <w:pPr>
              <w:autoSpaceDE w:val="0"/>
              <w:autoSpaceDN w:val="0"/>
              <w:rPr>
                <w:rFonts w:cs="宋体"/>
                <w:sz w:val="24"/>
                <w:szCs w:val="24"/>
              </w:rPr>
            </w:pPr>
            <w:r>
              <w:rPr>
                <w:rFonts w:hint="eastAsia" w:hAnsi="宋体"/>
                <w:sz w:val="24"/>
              </w:rPr>
              <w:t>2、投标人在项目所在地具有售后服务机构，经营面积达到300平方米及以上的得3分，没有得0分。（提供售后服务机构房权证或场地租凭复印件证明）。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tblCellSpacing w:w="0" w:type="dxa"/>
        </w:trPr>
        <w:tc>
          <w:tcPr>
            <w:tcW w:w="702" w:type="dxa"/>
            <w:gridSpan w:val="3"/>
            <w:tcBorders>
              <w:bottom w:val="single" w:color="auto" w:sz="4" w:space="0"/>
            </w:tcBorders>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3</w:t>
            </w:r>
          </w:p>
        </w:tc>
        <w:tc>
          <w:tcPr>
            <w:tcW w:w="1490" w:type="dxa"/>
            <w:gridSpan w:val="2"/>
            <w:tcBorders>
              <w:bottom w:val="single" w:color="auto" w:sz="4" w:space="0"/>
            </w:tcBorders>
            <w:vAlign w:val="center"/>
          </w:tcPr>
          <w:p>
            <w:pPr>
              <w:adjustRightInd w:val="0"/>
              <w:snapToGrid w:val="0"/>
              <w:spacing w:line="360" w:lineRule="auto"/>
              <w:jc w:val="center"/>
              <w:rPr>
                <w:rFonts w:hAnsi="宋体"/>
                <w:sz w:val="24"/>
                <w:szCs w:val="24"/>
              </w:rPr>
            </w:pPr>
            <w:r>
              <w:rPr>
                <w:rFonts w:hint="eastAsia" w:hAnsi="宋体"/>
                <w:sz w:val="24"/>
                <w:szCs w:val="24"/>
              </w:rPr>
              <w:t>荣誉</w:t>
            </w:r>
          </w:p>
        </w:tc>
        <w:tc>
          <w:tcPr>
            <w:tcW w:w="1048" w:type="dxa"/>
            <w:gridSpan w:val="4"/>
            <w:tcBorders>
              <w:bottom w:val="single" w:color="auto" w:sz="4" w:space="0"/>
            </w:tcBorders>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11</w:t>
            </w:r>
          </w:p>
        </w:tc>
        <w:tc>
          <w:tcPr>
            <w:tcW w:w="6118" w:type="dxa"/>
            <w:gridSpan w:val="3"/>
            <w:tcBorders>
              <w:bottom w:val="single" w:color="auto" w:sz="4" w:space="0"/>
            </w:tcBorders>
            <w:vAlign w:val="center"/>
          </w:tcPr>
          <w:p>
            <w:pPr>
              <w:numPr>
                <w:ilvl w:val="0"/>
                <w:numId w:val="7"/>
              </w:numPr>
              <w:rPr>
                <w:rFonts w:hAnsi="宋体"/>
                <w:sz w:val="24"/>
                <w:szCs w:val="24"/>
              </w:rPr>
            </w:pPr>
            <w:r>
              <w:rPr>
                <w:rFonts w:hint="eastAsia" w:hAnsi="宋体"/>
                <w:sz w:val="24"/>
                <w:szCs w:val="24"/>
              </w:rPr>
              <w:t>投标人获得</w:t>
            </w:r>
            <w:r>
              <w:rPr>
                <w:rFonts w:hAnsi="宋体"/>
                <w:sz w:val="24"/>
                <w:szCs w:val="24"/>
              </w:rPr>
              <w:t>质量管理体系认证书</w:t>
            </w:r>
            <w:r>
              <w:rPr>
                <w:rFonts w:hint="eastAsia" w:hAnsi="宋体"/>
                <w:sz w:val="24"/>
                <w:szCs w:val="24"/>
              </w:rPr>
              <w:t>得2分，获得信息安全管理体系认证证书的得2分；</w:t>
            </w:r>
          </w:p>
          <w:p>
            <w:pPr>
              <w:numPr>
                <w:ilvl w:val="0"/>
                <w:numId w:val="7"/>
              </w:numPr>
              <w:rPr>
                <w:rFonts w:hAnsi="宋体"/>
                <w:sz w:val="24"/>
                <w:szCs w:val="24"/>
              </w:rPr>
            </w:pPr>
            <w:r>
              <w:rPr>
                <w:rFonts w:hint="eastAsia" w:hAnsi="宋体"/>
                <w:sz w:val="24"/>
                <w:szCs w:val="24"/>
              </w:rPr>
              <w:t>获得全国企业质量监督管理中心颁发的《政府采购优秀供应商》荣誉证书的得2分；</w:t>
            </w:r>
          </w:p>
          <w:p>
            <w:pPr>
              <w:autoSpaceDE w:val="0"/>
              <w:autoSpaceDN w:val="0"/>
              <w:rPr>
                <w:rFonts w:hAnsi="宋体"/>
                <w:sz w:val="24"/>
              </w:rPr>
            </w:pPr>
            <w:r>
              <w:rPr>
                <w:rFonts w:hint="eastAsia" w:hAnsi="宋体"/>
                <w:sz w:val="24"/>
              </w:rPr>
              <w:t>3、投标人提供连续3年被图书馆报评为全国优秀馆配商或综合实力奖的得2分，不提供不得分。</w:t>
            </w:r>
          </w:p>
          <w:p>
            <w:pPr>
              <w:autoSpaceDE w:val="0"/>
              <w:autoSpaceDN w:val="0"/>
              <w:rPr>
                <w:rFonts w:hAnsi="宋体"/>
                <w:sz w:val="24"/>
              </w:rPr>
            </w:pPr>
            <w:r>
              <w:rPr>
                <w:rFonts w:hint="eastAsia" w:hAnsi="宋体"/>
                <w:sz w:val="24"/>
              </w:rPr>
              <w:t>4、投标人获得期刊出版授权书证明200家及以上得3分，150-200家得2分，100-150家得1分，100家以下得0分。</w:t>
            </w: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三</w:t>
      </w:r>
      <w:r>
        <w:rPr>
          <w:rFonts w:hAnsi="宋体" w:cs="宋体"/>
          <w:bCs/>
          <w:spacing w:val="8"/>
          <w:sz w:val="24"/>
          <w:szCs w:val="24"/>
        </w:rPr>
        <w:t xml:space="preserve">、 投标文件的澄清 </w:t>
      </w:r>
    </w:p>
    <w:p>
      <w:r>
        <w:rPr>
          <w:rFonts w:hAnsi="宋体" w:cs="宋体"/>
          <w:bCs/>
          <w:spacing w:val="8"/>
          <w:sz w:val="24"/>
          <w:szCs w:val="24"/>
        </w:rPr>
        <w:t xml:space="preserve">    为了便于评标小组更加全面有效的对所有投标人的投标文件进行审查、评估和比较，评标小组在评标的过程中随时有权向投标人质疑，请投标人澄清其投标内容。投标人有效书面澄清文件将被理解为其投标文件的一部分，但任何澄清均不得改变投标人的实质内容，否则在评标中不予考虑。</w:t>
      </w:r>
    </w:p>
    <w:p>
      <w:pPr>
        <w:rPr>
          <w:rFonts w:hAnsi="宋体" w:cs="宋体"/>
          <w:sz w:val="30"/>
          <w:szCs w:val="30"/>
        </w:rPr>
      </w:pPr>
    </w:p>
    <w:p/>
    <w:p>
      <w:pPr>
        <w:pStyle w:val="4"/>
        <w:snapToGrid w:val="0"/>
        <w:spacing w:before="0" w:after="0" w:line="240" w:lineRule="auto"/>
        <w:jc w:val="center"/>
        <w:rPr>
          <w:rFonts w:hint="default" w:hAnsi="宋体" w:eastAsia="宋体"/>
          <w:sz w:val="32"/>
          <w:szCs w:val="32"/>
          <w:lang w:val="en-US" w:eastAsia="zh-CN"/>
        </w:rPr>
      </w:pPr>
      <w:r>
        <w:rPr>
          <w:rFonts w:hint="eastAsia" w:hAnsi="宋体"/>
          <w:sz w:val="32"/>
          <w:szCs w:val="32"/>
          <w:lang w:val="en-US" w:eastAsia="zh-CN"/>
        </w:rPr>
        <w:t xml:space="preserve">  </w:t>
      </w: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bookmarkEnd w:id="41"/>
    <w:bookmarkEnd w:id="42"/>
    <w:p>
      <w:pPr>
        <w:rPr>
          <w:rFonts w:hint="eastAsia" w:hAnsi="宋体" w:cs="宋体"/>
          <w:sz w:val="30"/>
          <w:szCs w:val="30"/>
          <w:lang w:val="en-US" w:eastAsia="zh-CN"/>
        </w:rPr>
      </w:pPr>
      <w:r>
        <w:rPr>
          <w:rFonts w:hint="eastAsia" w:hAnsi="宋体" w:cs="宋体"/>
          <w:sz w:val="30"/>
          <w:szCs w:val="30"/>
          <w:lang w:val="en-US" w:eastAsia="zh-CN"/>
        </w:rPr>
        <w:br w:type="page"/>
      </w:r>
    </w:p>
    <w:p>
      <w:pPr>
        <w:pStyle w:val="4"/>
        <w:numPr>
          <w:ilvl w:val="0"/>
          <w:numId w:val="0"/>
        </w:numPr>
        <w:snapToGrid w:val="0"/>
        <w:spacing w:before="0" w:after="0" w:line="360" w:lineRule="auto"/>
        <w:ind w:firstLine="2711" w:firstLineChars="900"/>
        <w:jc w:val="both"/>
        <w:rPr>
          <w:rFonts w:hint="eastAsia" w:hAnsi="宋体" w:cs="宋体"/>
          <w:sz w:val="30"/>
          <w:szCs w:val="30"/>
          <w:lang w:val="en-US" w:eastAsia="zh-CN"/>
        </w:rPr>
      </w:pPr>
    </w:p>
    <w:p>
      <w:pPr>
        <w:pStyle w:val="4"/>
        <w:numPr>
          <w:ilvl w:val="0"/>
          <w:numId w:val="0"/>
        </w:numPr>
        <w:snapToGrid w:val="0"/>
        <w:spacing w:before="0" w:after="0" w:line="360" w:lineRule="auto"/>
        <w:ind w:firstLine="2711" w:firstLineChars="900"/>
        <w:jc w:val="both"/>
        <w:rPr>
          <w:rFonts w:hint="eastAsia" w:hAnsi="宋体" w:cs="宋体"/>
          <w:sz w:val="30"/>
          <w:szCs w:val="30"/>
        </w:rPr>
      </w:pPr>
      <w:r>
        <w:rPr>
          <w:rFonts w:hint="eastAsia" w:hAnsi="宋体" w:cs="宋体"/>
          <w:sz w:val="30"/>
          <w:szCs w:val="30"/>
          <w:lang w:val="en-US" w:eastAsia="zh-CN"/>
        </w:rPr>
        <w:t>第六章</w:t>
      </w:r>
      <w:r>
        <w:rPr>
          <w:rFonts w:hint="eastAsia" w:hAnsi="宋体" w:cs="宋体"/>
          <w:sz w:val="30"/>
          <w:szCs w:val="30"/>
        </w:rPr>
        <w:t xml:space="preserve"> 合同主要条款</w:t>
      </w:r>
    </w:p>
    <w:p>
      <w:pPr>
        <w:numPr>
          <w:ilvl w:val="0"/>
          <w:numId w:val="0"/>
        </w:numPr>
        <w:ind w:leftChars="0"/>
        <w:jc w:val="center"/>
        <w:rPr>
          <w:rFonts w:hint="eastAsia" w:eastAsia="宋体"/>
          <w:lang w:eastAsia="zh-CN"/>
        </w:rPr>
      </w:pPr>
      <w:r>
        <w:rPr>
          <w:rFonts w:hint="eastAsia" w:ascii="Times New Roman" w:hAnsi="宋体" w:eastAsia="宋体" w:cs="宋体"/>
          <w:b/>
          <w:bCs/>
          <w:sz w:val="24"/>
          <w:szCs w:val="24"/>
          <w:lang w:val="en-US" w:eastAsia="zh-CN" w:bidi="ar-SA"/>
        </w:rPr>
        <w:t>（</w:t>
      </w:r>
      <w:r>
        <w:rPr>
          <w:rFonts w:hint="eastAsia" w:ascii="Times New Roman" w:hAnsi="宋体" w:cs="宋体"/>
          <w:b/>
          <w:bCs/>
          <w:sz w:val="24"/>
          <w:szCs w:val="24"/>
          <w:lang w:val="en-US" w:eastAsia="zh-CN" w:bidi="ar-SA"/>
        </w:rPr>
        <w:t>仅</w:t>
      </w:r>
      <w:r>
        <w:rPr>
          <w:rFonts w:hint="eastAsia" w:ascii="Times New Roman" w:hAnsi="宋体" w:eastAsia="宋体" w:cs="宋体"/>
          <w:b/>
          <w:bCs/>
          <w:sz w:val="24"/>
          <w:szCs w:val="24"/>
          <w:lang w:val="en-US" w:eastAsia="zh-CN" w:bidi="ar-SA"/>
        </w:rPr>
        <w:t>供参考</w:t>
      </w:r>
      <w:r>
        <w:rPr>
          <w:rFonts w:hint="eastAsia" w:ascii="Times New Roman" w:hAnsi="宋体" w:eastAsia="宋体" w:cs="宋体"/>
          <w:sz w:val="24"/>
          <w:szCs w:val="24"/>
          <w:lang w:val="en-US" w:eastAsia="zh-CN" w:bidi="ar-SA"/>
        </w:rPr>
        <w:t>）</w:t>
      </w:r>
    </w:p>
    <w:p>
      <w:pPr>
        <w:snapToGrid w:val="0"/>
        <w:spacing w:line="360" w:lineRule="auto"/>
        <w:rPr>
          <w:rFonts w:hAnsi="宋体" w:cs="宋体"/>
          <w:sz w:val="24"/>
          <w:szCs w:val="24"/>
        </w:rPr>
      </w:pPr>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22.05pt;width:17.05pt;mso-position-horizontal:center;mso-position-horizontal-relative:margin;mso-wrap-style:none;z-index:251659264;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AcC5A5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10</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59264;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19</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140"/>
        <w:tab w:val="clear" w:pos="8300"/>
      </w:tabs>
      <w:rPr>
        <w:rFonts w:hAnsi="宋体"/>
      </w:rPr>
    </w:pPr>
    <w:r>
      <w:rPr>
        <w:rFonts w:hint="eastAsia" w:hAnsi="宋体"/>
        <w:lang w:val="en-US" w:eastAsia="zh-CN"/>
      </w:rPr>
      <w:t>2023年纸质期刊</w:t>
    </w:r>
    <w:r>
      <w:rPr>
        <w:rFonts w:hint="eastAsia" w:hAnsi="宋体"/>
        <w:lang w:eastAsia="zh-CN"/>
      </w:rPr>
      <w:t>采购</w:t>
    </w:r>
    <w:r>
      <w:rPr>
        <w:rFonts w:hint="eastAsia" w:hAnsi="宋体"/>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5500A"/>
    <w:multiLevelType w:val="singleLevel"/>
    <w:tmpl w:val="A635500A"/>
    <w:lvl w:ilvl="0" w:tentative="0">
      <w:start w:val="1"/>
      <w:numFmt w:val="chineseCounting"/>
      <w:suff w:val="nothing"/>
      <w:lvlText w:val="%1、"/>
      <w:lvlJc w:val="left"/>
      <w:rPr>
        <w:rFonts w:hint="eastAsia"/>
      </w:rPr>
    </w:lvl>
  </w:abstractNum>
  <w:abstractNum w:abstractNumId="1">
    <w:nsid w:val="EEE98736"/>
    <w:multiLevelType w:val="singleLevel"/>
    <w:tmpl w:val="EEE98736"/>
    <w:lvl w:ilvl="0" w:tentative="0">
      <w:start w:val="1"/>
      <w:numFmt w:val="decimal"/>
      <w:suff w:val="nothing"/>
      <w:lvlText w:val="%1、"/>
      <w:lvlJc w:val="left"/>
    </w:lvl>
  </w:abstractNum>
  <w:abstractNum w:abstractNumId="2">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3">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4">
    <w:nsid w:val="00000003"/>
    <w:multiLevelType w:val="singleLevel"/>
    <w:tmpl w:val="00000003"/>
    <w:lvl w:ilvl="0" w:tentative="0">
      <w:start w:val="1"/>
      <w:numFmt w:val="decimal"/>
      <w:suff w:val="nothing"/>
      <w:lvlText w:val="%1、"/>
      <w:lvlJc w:val="left"/>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74152DD1"/>
    <w:multiLevelType w:val="multilevel"/>
    <w:tmpl w:val="74152DD1"/>
    <w:lvl w:ilvl="0" w:tentative="0">
      <w:start w:val="1"/>
      <w:numFmt w:val="decimal"/>
      <w:lvlText w:val="%1、"/>
      <w:lvlJc w:val="left"/>
      <w:pPr>
        <w:ind w:left="720" w:hanging="7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2"/>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237"/>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MDdiNTczMDY5YzkyODlhZjc3MmVlMzFhZTAyZTgifQ=="/>
  </w:docVars>
  <w:rsids>
    <w:rsidRoot w:val="00172A27"/>
    <w:rsid w:val="0000130C"/>
    <w:rsid w:val="0001189E"/>
    <w:rsid w:val="00013F1F"/>
    <w:rsid w:val="00020591"/>
    <w:rsid w:val="00022579"/>
    <w:rsid w:val="000227F3"/>
    <w:rsid w:val="000300FA"/>
    <w:rsid w:val="00034E6A"/>
    <w:rsid w:val="00037883"/>
    <w:rsid w:val="000414D3"/>
    <w:rsid w:val="00062B97"/>
    <w:rsid w:val="00074602"/>
    <w:rsid w:val="00083A44"/>
    <w:rsid w:val="000921E3"/>
    <w:rsid w:val="000955D2"/>
    <w:rsid w:val="000A1BAE"/>
    <w:rsid w:val="000B2D46"/>
    <w:rsid w:val="000C3891"/>
    <w:rsid w:val="000D3C29"/>
    <w:rsid w:val="000E3A51"/>
    <w:rsid w:val="000F0B31"/>
    <w:rsid w:val="00104D52"/>
    <w:rsid w:val="00115F7B"/>
    <w:rsid w:val="0011612A"/>
    <w:rsid w:val="001269FA"/>
    <w:rsid w:val="00142405"/>
    <w:rsid w:val="001433DB"/>
    <w:rsid w:val="0014556F"/>
    <w:rsid w:val="00157635"/>
    <w:rsid w:val="00172A27"/>
    <w:rsid w:val="00181E14"/>
    <w:rsid w:val="00185388"/>
    <w:rsid w:val="001943F1"/>
    <w:rsid w:val="001A1EDF"/>
    <w:rsid w:val="001A3304"/>
    <w:rsid w:val="001C4C5D"/>
    <w:rsid w:val="001E077D"/>
    <w:rsid w:val="0021094F"/>
    <w:rsid w:val="002114B9"/>
    <w:rsid w:val="0021517F"/>
    <w:rsid w:val="00215D24"/>
    <w:rsid w:val="00231CEA"/>
    <w:rsid w:val="00242F03"/>
    <w:rsid w:val="00252539"/>
    <w:rsid w:val="002619F7"/>
    <w:rsid w:val="002740EE"/>
    <w:rsid w:val="002802D2"/>
    <w:rsid w:val="002932A5"/>
    <w:rsid w:val="002945D4"/>
    <w:rsid w:val="00297578"/>
    <w:rsid w:val="002A6490"/>
    <w:rsid w:val="002F3A9D"/>
    <w:rsid w:val="00302533"/>
    <w:rsid w:val="00303BEC"/>
    <w:rsid w:val="0031337F"/>
    <w:rsid w:val="00314D2B"/>
    <w:rsid w:val="00315BFD"/>
    <w:rsid w:val="00330AB4"/>
    <w:rsid w:val="003426C9"/>
    <w:rsid w:val="0034384C"/>
    <w:rsid w:val="00351B66"/>
    <w:rsid w:val="00374997"/>
    <w:rsid w:val="00376338"/>
    <w:rsid w:val="0038282C"/>
    <w:rsid w:val="003C2094"/>
    <w:rsid w:val="003C49AF"/>
    <w:rsid w:val="003D00DA"/>
    <w:rsid w:val="003D11A5"/>
    <w:rsid w:val="003D4974"/>
    <w:rsid w:val="003D6934"/>
    <w:rsid w:val="003E1BF9"/>
    <w:rsid w:val="0040317E"/>
    <w:rsid w:val="0041087A"/>
    <w:rsid w:val="00412E90"/>
    <w:rsid w:val="00423D03"/>
    <w:rsid w:val="004250DD"/>
    <w:rsid w:val="004368FD"/>
    <w:rsid w:val="00450DBA"/>
    <w:rsid w:val="00451066"/>
    <w:rsid w:val="0046280F"/>
    <w:rsid w:val="00477BEA"/>
    <w:rsid w:val="00484F83"/>
    <w:rsid w:val="004856D2"/>
    <w:rsid w:val="004A0487"/>
    <w:rsid w:val="004A550E"/>
    <w:rsid w:val="004A58BA"/>
    <w:rsid w:val="004B0DBB"/>
    <w:rsid w:val="004B6322"/>
    <w:rsid w:val="004D0C88"/>
    <w:rsid w:val="004E54D8"/>
    <w:rsid w:val="004F0192"/>
    <w:rsid w:val="004F3B9B"/>
    <w:rsid w:val="004F5512"/>
    <w:rsid w:val="004F718A"/>
    <w:rsid w:val="00510855"/>
    <w:rsid w:val="0051463D"/>
    <w:rsid w:val="00523D5E"/>
    <w:rsid w:val="00526EF1"/>
    <w:rsid w:val="00551968"/>
    <w:rsid w:val="005523F9"/>
    <w:rsid w:val="00565D29"/>
    <w:rsid w:val="0057392A"/>
    <w:rsid w:val="0057670A"/>
    <w:rsid w:val="0058164F"/>
    <w:rsid w:val="00581EB4"/>
    <w:rsid w:val="00587168"/>
    <w:rsid w:val="00593373"/>
    <w:rsid w:val="005A011C"/>
    <w:rsid w:val="005A1491"/>
    <w:rsid w:val="005C0690"/>
    <w:rsid w:val="005D660E"/>
    <w:rsid w:val="005D76BC"/>
    <w:rsid w:val="005F3651"/>
    <w:rsid w:val="005F6D20"/>
    <w:rsid w:val="006076D0"/>
    <w:rsid w:val="0064548D"/>
    <w:rsid w:val="0068224E"/>
    <w:rsid w:val="00691FBB"/>
    <w:rsid w:val="006A04FB"/>
    <w:rsid w:val="006B3B23"/>
    <w:rsid w:val="006B634A"/>
    <w:rsid w:val="006B64B2"/>
    <w:rsid w:val="006C59D1"/>
    <w:rsid w:val="006C7451"/>
    <w:rsid w:val="006E3DDB"/>
    <w:rsid w:val="006F06EF"/>
    <w:rsid w:val="006F4716"/>
    <w:rsid w:val="00722B66"/>
    <w:rsid w:val="00731735"/>
    <w:rsid w:val="00735742"/>
    <w:rsid w:val="00737A85"/>
    <w:rsid w:val="00740C17"/>
    <w:rsid w:val="007432C8"/>
    <w:rsid w:val="00764FE2"/>
    <w:rsid w:val="0076501E"/>
    <w:rsid w:val="00767976"/>
    <w:rsid w:val="00771D10"/>
    <w:rsid w:val="00786217"/>
    <w:rsid w:val="007956B7"/>
    <w:rsid w:val="007D1094"/>
    <w:rsid w:val="007D60BE"/>
    <w:rsid w:val="007E3542"/>
    <w:rsid w:val="007F62D2"/>
    <w:rsid w:val="00815FBB"/>
    <w:rsid w:val="00823CD6"/>
    <w:rsid w:val="008351A2"/>
    <w:rsid w:val="008465E2"/>
    <w:rsid w:val="00850AE8"/>
    <w:rsid w:val="0085182D"/>
    <w:rsid w:val="00852219"/>
    <w:rsid w:val="00854B0E"/>
    <w:rsid w:val="00861B35"/>
    <w:rsid w:val="00861D35"/>
    <w:rsid w:val="008705D4"/>
    <w:rsid w:val="008721DC"/>
    <w:rsid w:val="008826E8"/>
    <w:rsid w:val="008A3275"/>
    <w:rsid w:val="008A372A"/>
    <w:rsid w:val="008A775B"/>
    <w:rsid w:val="008B3F4F"/>
    <w:rsid w:val="008B6A28"/>
    <w:rsid w:val="008C4C5D"/>
    <w:rsid w:val="008D4B57"/>
    <w:rsid w:val="008E283A"/>
    <w:rsid w:val="008F1768"/>
    <w:rsid w:val="008F483A"/>
    <w:rsid w:val="008F5D03"/>
    <w:rsid w:val="00900A6F"/>
    <w:rsid w:val="00907738"/>
    <w:rsid w:val="009123FA"/>
    <w:rsid w:val="00916D1E"/>
    <w:rsid w:val="00927129"/>
    <w:rsid w:val="0093288F"/>
    <w:rsid w:val="00935B90"/>
    <w:rsid w:val="00953907"/>
    <w:rsid w:val="009541A1"/>
    <w:rsid w:val="00956AE4"/>
    <w:rsid w:val="00964782"/>
    <w:rsid w:val="00983489"/>
    <w:rsid w:val="0099747D"/>
    <w:rsid w:val="009976EE"/>
    <w:rsid w:val="009A21CB"/>
    <w:rsid w:val="009B7EC9"/>
    <w:rsid w:val="009D1F47"/>
    <w:rsid w:val="009D23DB"/>
    <w:rsid w:val="009D4EE9"/>
    <w:rsid w:val="009F639B"/>
    <w:rsid w:val="00A0208D"/>
    <w:rsid w:val="00A03414"/>
    <w:rsid w:val="00A075C3"/>
    <w:rsid w:val="00A11CF0"/>
    <w:rsid w:val="00A13D90"/>
    <w:rsid w:val="00A2152A"/>
    <w:rsid w:val="00A23C2C"/>
    <w:rsid w:val="00A26126"/>
    <w:rsid w:val="00A27709"/>
    <w:rsid w:val="00A415A9"/>
    <w:rsid w:val="00A57A27"/>
    <w:rsid w:val="00A62532"/>
    <w:rsid w:val="00A7009A"/>
    <w:rsid w:val="00A92172"/>
    <w:rsid w:val="00A9666E"/>
    <w:rsid w:val="00AA1D32"/>
    <w:rsid w:val="00AA4F6C"/>
    <w:rsid w:val="00AE0E42"/>
    <w:rsid w:val="00AE5591"/>
    <w:rsid w:val="00B10AC3"/>
    <w:rsid w:val="00B35C4C"/>
    <w:rsid w:val="00B52A09"/>
    <w:rsid w:val="00B634A6"/>
    <w:rsid w:val="00B92137"/>
    <w:rsid w:val="00BA04EB"/>
    <w:rsid w:val="00BA1E3F"/>
    <w:rsid w:val="00BA7A4D"/>
    <w:rsid w:val="00BD2B90"/>
    <w:rsid w:val="00BE0CDD"/>
    <w:rsid w:val="00BE3EDE"/>
    <w:rsid w:val="00BF5C97"/>
    <w:rsid w:val="00BF6F90"/>
    <w:rsid w:val="00C10464"/>
    <w:rsid w:val="00C11284"/>
    <w:rsid w:val="00C132F6"/>
    <w:rsid w:val="00C15F61"/>
    <w:rsid w:val="00C16CAE"/>
    <w:rsid w:val="00C3181D"/>
    <w:rsid w:val="00C50C93"/>
    <w:rsid w:val="00C52250"/>
    <w:rsid w:val="00C54697"/>
    <w:rsid w:val="00C70180"/>
    <w:rsid w:val="00C821FD"/>
    <w:rsid w:val="00C82454"/>
    <w:rsid w:val="00C82BBB"/>
    <w:rsid w:val="00C8568F"/>
    <w:rsid w:val="00C93064"/>
    <w:rsid w:val="00CA64F2"/>
    <w:rsid w:val="00CB1E2C"/>
    <w:rsid w:val="00CB78BD"/>
    <w:rsid w:val="00CB7B63"/>
    <w:rsid w:val="00CC5987"/>
    <w:rsid w:val="00CC6ED4"/>
    <w:rsid w:val="00CD004D"/>
    <w:rsid w:val="00CD4587"/>
    <w:rsid w:val="00CE5482"/>
    <w:rsid w:val="00D21B10"/>
    <w:rsid w:val="00D40A36"/>
    <w:rsid w:val="00D40F38"/>
    <w:rsid w:val="00D60F7C"/>
    <w:rsid w:val="00D65F48"/>
    <w:rsid w:val="00D72148"/>
    <w:rsid w:val="00D907DF"/>
    <w:rsid w:val="00D9414E"/>
    <w:rsid w:val="00DA21B8"/>
    <w:rsid w:val="00DB3C91"/>
    <w:rsid w:val="00DC0447"/>
    <w:rsid w:val="00DC4377"/>
    <w:rsid w:val="00DC4A4A"/>
    <w:rsid w:val="00DC6D26"/>
    <w:rsid w:val="00DD2646"/>
    <w:rsid w:val="00DD26EF"/>
    <w:rsid w:val="00DE0AD4"/>
    <w:rsid w:val="00DE1B68"/>
    <w:rsid w:val="00DE4625"/>
    <w:rsid w:val="00DE761B"/>
    <w:rsid w:val="00DF6E1E"/>
    <w:rsid w:val="00E27570"/>
    <w:rsid w:val="00E44A52"/>
    <w:rsid w:val="00E56AF3"/>
    <w:rsid w:val="00E66D51"/>
    <w:rsid w:val="00E73B8A"/>
    <w:rsid w:val="00E742A7"/>
    <w:rsid w:val="00E76852"/>
    <w:rsid w:val="00E77F85"/>
    <w:rsid w:val="00E8706F"/>
    <w:rsid w:val="00EA3731"/>
    <w:rsid w:val="00EA6F1B"/>
    <w:rsid w:val="00EC14D2"/>
    <w:rsid w:val="00ED6EA0"/>
    <w:rsid w:val="00EE1B3C"/>
    <w:rsid w:val="00EF4DBE"/>
    <w:rsid w:val="00EF7675"/>
    <w:rsid w:val="00F604E1"/>
    <w:rsid w:val="00F82A64"/>
    <w:rsid w:val="00F86B39"/>
    <w:rsid w:val="00FA0D6E"/>
    <w:rsid w:val="00FC5B97"/>
    <w:rsid w:val="00FC5BDA"/>
    <w:rsid w:val="00FC6A75"/>
    <w:rsid w:val="00FD0A36"/>
    <w:rsid w:val="00FD2F96"/>
    <w:rsid w:val="00FF453E"/>
    <w:rsid w:val="00FF58B8"/>
    <w:rsid w:val="01181DD9"/>
    <w:rsid w:val="015B76C5"/>
    <w:rsid w:val="01630F53"/>
    <w:rsid w:val="016853DB"/>
    <w:rsid w:val="017C78FF"/>
    <w:rsid w:val="019C23B2"/>
    <w:rsid w:val="01A26E08"/>
    <w:rsid w:val="01B31FD7"/>
    <w:rsid w:val="01DA1E97"/>
    <w:rsid w:val="01E22B26"/>
    <w:rsid w:val="01E65CA9"/>
    <w:rsid w:val="01E96C2E"/>
    <w:rsid w:val="02335DA9"/>
    <w:rsid w:val="025340DF"/>
    <w:rsid w:val="02B15922"/>
    <w:rsid w:val="02BE378E"/>
    <w:rsid w:val="02DA64AD"/>
    <w:rsid w:val="03012F7E"/>
    <w:rsid w:val="03055CCB"/>
    <w:rsid w:val="030B000A"/>
    <w:rsid w:val="032A2ABD"/>
    <w:rsid w:val="032E14C4"/>
    <w:rsid w:val="03425F66"/>
    <w:rsid w:val="035A40AD"/>
    <w:rsid w:val="036A7B56"/>
    <w:rsid w:val="03731FB8"/>
    <w:rsid w:val="039446EB"/>
    <w:rsid w:val="039C537B"/>
    <w:rsid w:val="03A03D81"/>
    <w:rsid w:val="03D332D6"/>
    <w:rsid w:val="03FC2E16"/>
    <w:rsid w:val="041462BE"/>
    <w:rsid w:val="04467D92"/>
    <w:rsid w:val="044E519E"/>
    <w:rsid w:val="04641540"/>
    <w:rsid w:val="04647342"/>
    <w:rsid w:val="0473604C"/>
    <w:rsid w:val="04785FE3"/>
    <w:rsid w:val="04881B00"/>
    <w:rsid w:val="048C5EC7"/>
    <w:rsid w:val="04B425C4"/>
    <w:rsid w:val="04BA44CE"/>
    <w:rsid w:val="04D253F8"/>
    <w:rsid w:val="04DA3961"/>
    <w:rsid w:val="04E9501D"/>
    <w:rsid w:val="04EF6F26"/>
    <w:rsid w:val="05482E38"/>
    <w:rsid w:val="05665C6B"/>
    <w:rsid w:val="05EB5EC4"/>
    <w:rsid w:val="05FB28DB"/>
    <w:rsid w:val="06040728"/>
    <w:rsid w:val="062515BF"/>
    <w:rsid w:val="063901C2"/>
    <w:rsid w:val="06397DA9"/>
    <w:rsid w:val="065B3BFA"/>
    <w:rsid w:val="0664230B"/>
    <w:rsid w:val="069D7EE6"/>
    <w:rsid w:val="06AF3F0D"/>
    <w:rsid w:val="06B30602"/>
    <w:rsid w:val="06BE3C9E"/>
    <w:rsid w:val="06BF391E"/>
    <w:rsid w:val="06D0743C"/>
    <w:rsid w:val="06DB7966"/>
    <w:rsid w:val="06DE070F"/>
    <w:rsid w:val="06E3065B"/>
    <w:rsid w:val="070D149F"/>
    <w:rsid w:val="07407323"/>
    <w:rsid w:val="0750320D"/>
    <w:rsid w:val="07574AC3"/>
    <w:rsid w:val="0758192B"/>
    <w:rsid w:val="079133E6"/>
    <w:rsid w:val="07A36030"/>
    <w:rsid w:val="07BA06BE"/>
    <w:rsid w:val="07DE6533"/>
    <w:rsid w:val="07DF17F7"/>
    <w:rsid w:val="07FD0DA7"/>
    <w:rsid w:val="080055AF"/>
    <w:rsid w:val="080C13C2"/>
    <w:rsid w:val="08380F8C"/>
    <w:rsid w:val="084D6DD4"/>
    <w:rsid w:val="084E78AD"/>
    <w:rsid w:val="085914C1"/>
    <w:rsid w:val="086552D4"/>
    <w:rsid w:val="086D0162"/>
    <w:rsid w:val="08747AEC"/>
    <w:rsid w:val="08822685"/>
    <w:rsid w:val="08870D0B"/>
    <w:rsid w:val="08BA49DD"/>
    <w:rsid w:val="08EC7733"/>
    <w:rsid w:val="092B1819"/>
    <w:rsid w:val="092E279E"/>
    <w:rsid w:val="09343398"/>
    <w:rsid w:val="093E2A38"/>
    <w:rsid w:val="0955045F"/>
    <w:rsid w:val="09580C0A"/>
    <w:rsid w:val="09F856EA"/>
    <w:rsid w:val="0A164C9A"/>
    <w:rsid w:val="0A3A19D7"/>
    <w:rsid w:val="0AD04A17"/>
    <w:rsid w:val="0AE465EC"/>
    <w:rsid w:val="0AF33383"/>
    <w:rsid w:val="0AF40E05"/>
    <w:rsid w:val="0AF8528D"/>
    <w:rsid w:val="0B0B0A2A"/>
    <w:rsid w:val="0B2631C5"/>
    <w:rsid w:val="0B8251F1"/>
    <w:rsid w:val="0BE85862"/>
    <w:rsid w:val="0C30660E"/>
    <w:rsid w:val="0C5A3BCF"/>
    <w:rsid w:val="0C5E25D5"/>
    <w:rsid w:val="0C9E14DE"/>
    <w:rsid w:val="0CA11F25"/>
    <w:rsid w:val="0CCB0A0B"/>
    <w:rsid w:val="0CFA01E0"/>
    <w:rsid w:val="0D06536D"/>
    <w:rsid w:val="0D1158FC"/>
    <w:rsid w:val="0D1A078A"/>
    <w:rsid w:val="0D1D7190"/>
    <w:rsid w:val="0D3835BD"/>
    <w:rsid w:val="0D8536BD"/>
    <w:rsid w:val="0DC44BFF"/>
    <w:rsid w:val="0DDE5050"/>
    <w:rsid w:val="0DEA0E63"/>
    <w:rsid w:val="0E317059"/>
    <w:rsid w:val="0E7D16D6"/>
    <w:rsid w:val="0E991F00"/>
    <w:rsid w:val="0E9D0906"/>
    <w:rsid w:val="0EA03F84"/>
    <w:rsid w:val="0EB4052B"/>
    <w:rsid w:val="0EBA5CB8"/>
    <w:rsid w:val="0EF21695"/>
    <w:rsid w:val="0F1550CD"/>
    <w:rsid w:val="0F2E087C"/>
    <w:rsid w:val="0F596ABB"/>
    <w:rsid w:val="0F5D0D44"/>
    <w:rsid w:val="0F6A005A"/>
    <w:rsid w:val="0FB04F4B"/>
    <w:rsid w:val="0FCF7D7E"/>
    <w:rsid w:val="100E3442"/>
    <w:rsid w:val="10170173"/>
    <w:rsid w:val="103819AC"/>
    <w:rsid w:val="105656D9"/>
    <w:rsid w:val="10717512"/>
    <w:rsid w:val="10717588"/>
    <w:rsid w:val="109A294A"/>
    <w:rsid w:val="111A0C9A"/>
    <w:rsid w:val="1122192A"/>
    <w:rsid w:val="113C7F55"/>
    <w:rsid w:val="11440BE5"/>
    <w:rsid w:val="11811943"/>
    <w:rsid w:val="11885106"/>
    <w:rsid w:val="11AA4C3A"/>
    <w:rsid w:val="11AC3A8C"/>
    <w:rsid w:val="12255CD4"/>
    <w:rsid w:val="122E65E4"/>
    <w:rsid w:val="1252421A"/>
    <w:rsid w:val="128F7902"/>
    <w:rsid w:val="12AC1431"/>
    <w:rsid w:val="12F066A2"/>
    <w:rsid w:val="12F450A8"/>
    <w:rsid w:val="13045342"/>
    <w:rsid w:val="133D2F1E"/>
    <w:rsid w:val="13935EAB"/>
    <w:rsid w:val="13BD2572"/>
    <w:rsid w:val="13DB629F"/>
    <w:rsid w:val="14044EE5"/>
    <w:rsid w:val="142976A3"/>
    <w:rsid w:val="14580FCB"/>
    <w:rsid w:val="145B58F4"/>
    <w:rsid w:val="148876BD"/>
    <w:rsid w:val="149A4596"/>
    <w:rsid w:val="14A66C6D"/>
    <w:rsid w:val="14EC73E1"/>
    <w:rsid w:val="152A4CC8"/>
    <w:rsid w:val="15364BBA"/>
    <w:rsid w:val="156D0C34"/>
    <w:rsid w:val="15756040"/>
    <w:rsid w:val="15796287"/>
    <w:rsid w:val="15B83632"/>
    <w:rsid w:val="15BC67B5"/>
    <w:rsid w:val="15D72862"/>
    <w:rsid w:val="15E9057E"/>
    <w:rsid w:val="15EB3A81"/>
    <w:rsid w:val="15EB7304"/>
    <w:rsid w:val="15F1340C"/>
    <w:rsid w:val="16387403"/>
    <w:rsid w:val="166D588D"/>
    <w:rsid w:val="167539E5"/>
    <w:rsid w:val="1694429A"/>
    <w:rsid w:val="16C95754"/>
    <w:rsid w:val="172F6697"/>
    <w:rsid w:val="17332B1E"/>
    <w:rsid w:val="173A446A"/>
    <w:rsid w:val="17550AD5"/>
    <w:rsid w:val="175C045F"/>
    <w:rsid w:val="176B30C3"/>
    <w:rsid w:val="1780519C"/>
    <w:rsid w:val="1784532C"/>
    <w:rsid w:val="17A553DC"/>
    <w:rsid w:val="17B0376D"/>
    <w:rsid w:val="17C77B0F"/>
    <w:rsid w:val="17DC4231"/>
    <w:rsid w:val="17E838C7"/>
    <w:rsid w:val="18104A8B"/>
    <w:rsid w:val="18147F52"/>
    <w:rsid w:val="18322A41"/>
    <w:rsid w:val="185E6D88"/>
    <w:rsid w:val="186C3B20"/>
    <w:rsid w:val="18825CC3"/>
    <w:rsid w:val="18A90101"/>
    <w:rsid w:val="19024013"/>
    <w:rsid w:val="19044F98"/>
    <w:rsid w:val="1910462E"/>
    <w:rsid w:val="19316345"/>
    <w:rsid w:val="19360FEA"/>
    <w:rsid w:val="19451A88"/>
    <w:rsid w:val="196056B2"/>
    <w:rsid w:val="19782D58"/>
    <w:rsid w:val="19B02EB2"/>
    <w:rsid w:val="19B83B42"/>
    <w:rsid w:val="19D4436C"/>
    <w:rsid w:val="1A306C84"/>
    <w:rsid w:val="1A3E5E28"/>
    <w:rsid w:val="1A4B0B32"/>
    <w:rsid w:val="1A7267F4"/>
    <w:rsid w:val="1A811BDF"/>
    <w:rsid w:val="1A8E28A0"/>
    <w:rsid w:val="1AA56775"/>
    <w:rsid w:val="1AAE7552"/>
    <w:rsid w:val="1ADD2620"/>
    <w:rsid w:val="1AEB73B7"/>
    <w:rsid w:val="1AED613D"/>
    <w:rsid w:val="1B685A87"/>
    <w:rsid w:val="1B6C0C0A"/>
    <w:rsid w:val="1B6D668B"/>
    <w:rsid w:val="1B835BE0"/>
    <w:rsid w:val="1B933D1E"/>
    <w:rsid w:val="1BDB6CBF"/>
    <w:rsid w:val="1BE453D0"/>
    <w:rsid w:val="1BEE3761"/>
    <w:rsid w:val="1C091D8D"/>
    <w:rsid w:val="1C7723C1"/>
    <w:rsid w:val="1C820752"/>
    <w:rsid w:val="1C993BFA"/>
    <w:rsid w:val="1CC41D1F"/>
    <w:rsid w:val="1CD714E1"/>
    <w:rsid w:val="1CDB5968"/>
    <w:rsid w:val="1CE56DF0"/>
    <w:rsid w:val="1CEA2747"/>
    <w:rsid w:val="1CF0217A"/>
    <w:rsid w:val="1D5133A9"/>
    <w:rsid w:val="1D5D3876"/>
    <w:rsid w:val="1D6F2FE0"/>
    <w:rsid w:val="1D722AE5"/>
    <w:rsid w:val="1D7B3732"/>
    <w:rsid w:val="1DBA1246"/>
    <w:rsid w:val="1E3D1A9F"/>
    <w:rsid w:val="1E5209CD"/>
    <w:rsid w:val="1E574E55"/>
    <w:rsid w:val="1E6366E9"/>
    <w:rsid w:val="1E711282"/>
    <w:rsid w:val="1E7A630E"/>
    <w:rsid w:val="1E8570CD"/>
    <w:rsid w:val="1ED46DCB"/>
    <w:rsid w:val="1ED50FA6"/>
    <w:rsid w:val="1F400656"/>
    <w:rsid w:val="1F535FF1"/>
    <w:rsid w:val="1F672A94"/>
    <w:rsid w:val="1F7D6E36"/>
    <w:rsid w:val="1F81583C"/>
    <w:rsid w:val="1FB13E0C"/>
    <w:rsid w:val="1FBE0F24"/>
    <w:rsid w:val="1FD01F30"/>
    <w:rsid w:val="2006711A"/>
    <w:rsid w:val="20142D95"/>
    <w:rsid w:val="202F6C59"/>
    <w:rsid w:val="203F776D"/>
    <w:rsid w:val="20580F11"/>
    <w:rsid w:val="207E5ADF"/>
    <w:rsid w:val="2093697E"/>
    <w:rsid w:val="209443FF"/>
    <w:rsid w:val="20C95348"/>
    <w:rsid w:val="20D14264"/>
    <w:rsid w:val="20E144FE"/>
    <w:rsid w:val="20E9518E"/>
    <w:rsid w:val="21207866"/>
    <w:rsid w:val="217C217E"/>
    <w:rsid w:val="21A223BE"/>
    <w:rsid w:val="21A3015D"/>
    <w:rsid w:val="21BC2F68"/>
    <w:rsid w:val="21D96C95"/>
    <w:rsid w:val="21DE0F1E"/>
    <w:rsid w:val="21E94D31"/>
    <w:rsid w:val="22004956"/>
    <w:rsid w:val="22077B64"/>
    <w:rsid w:val="223076A3"/>
    <w:rsid w:val="22445CAC"/>
    <w:rsid w:val="229009C2"/>
    <w:rsid w:val="230C2B7A"/>
    <w:rsid w:val="232C45F5"/>
    <w:rsid w:val="23574571"/>
    <w:rsid w:val="235C138F"/>
    <w:rsid w:val="23A52A88"/>
    <w:rsid w:val="23C478CF"/>
    <w:rsid w:val="23D93E78"/>
    <w:rsid w:val="23DB76DF"/>
    <w:rsid w:val="2431266C"/>
    <w:rsid w:val="245965D5"/>
    <w:rsid w:val="247B506A"/>
    <w:rsid w:val="24AE0D3C"/>
    <w:rsid w:val="251251DD"/>
    <w:rsid w:val="25267701"/>
    <w:rsid w:val="25392E9F"/>
    <w:rsid w:val="253B7A11"/>
    <w:rsid w:val="254060AD"/>
    <w:rsid w:val="25556F4C"/>
    <w:rsid w:val="25A14E4D"/>
    <w:rsid w:val="25BC3478"/>
    <w:rsid w:val="26066D6F"/>
    <w:rsid w:val="261C0F13"/>
    <w:rsid w:val="261E7C99"/>
    <w:rsid w:val="263465BA"/>
    <w:rsid w:val="26365340"/>
    <w:rsid w:val="26770328"/>
    <w:rsid w:val="268044BB"/>
    <w:rsid w:val="26842EC1"/>
    <w:rsid w:val="269363C3"/>
    <w:rsid w:val="26B149A9"/>
    <w:rsid w:val="26D12FC0"/>
    <w:rsid w:val="26E25459"/>
    <w:rsid w:val="26E32EDA"/>
    <w:rsid w:val="26FE3DD4"/>
    <w:rsid w:val="2701728E"/>
    <w:rsid w:val="272557B3"/>
    <w:rsid w:val="27683133"/>
    <w:rsid w:val="27777ECB"/>
    <w:rsid w:val="278E3373"/>
    <w:rsid w:val="27A27E15"/>
    <w:rsid w:val="27A6429D"/>
    <w:rsid w:val="27E078FA"/>
    <w:rsid w:val="28046835"/>
    <w:rsid w:val="281B09D9"/>
    <w:rsid w:val="281B645A"/>
    <w:rsid w:val="28431558"/>
    <w:rsid w:val="28673056"/>
    <w:rsid w:val="28883996"/>
    <w:rsid w:val="28E726AB"/>
    <w:rsid w:val="290968DD"/>
    <w:rsid w:val="290D66EE"/>
    <w:rsid w:val="293C4333"/>
    <w:rsid w:val="293D5638"/>
    <w:rsid w:val="295918A1"/>
    <w:rsid w:val="2969197F"/>
    <w:rsid w:val="2970130A"/>
    <w:rsid w:val="29857C3C"/>
    <w:rsid w:val="29D93C40"/>
    <w:rsid w:val="2A0C1188"/>
    <w:rsid w:val="2A16531B"/>
    <w:rsid w:val="2A17081E"/>
    <w:rsid w:val="2A4E2EF7"/>
    <w:rsid w:val="2A75287D"/>
    <w:rsid w:val="2A7917BC"/>
    <w:rsid w:val="2A982071"/>
    <w:rsid w:val="2ABD7C60"/>
    <w:rsid w:val="2B5B432E"/>
    <w:rsid w:val="2B9D3E9D"/>
    <w:rsid w:val="2BC517DF"/>
    <w:rsid w:val="2BCF20EE"/>
    <w:rsid w:val="2BD74F7C"/>
    <w:rsid w:val="2BE07E0A"/>
    <w:rsid w:val="2C063CAF"/>
    <w:rsid w:val="2C0F0959"/>
    <w:rsid w:val="2C1A6CEA"/>
    <w:rsid w:val="2C202DF2"/>
    <w:rsid w:val="2C594D78"/>
    <w:rsid w:val="2C61165D"/>
    <w:rsid w:val="2C74067E"/>
    <w:rsid w:val="2C784B05"/>
    <w:rsid w:val="2C952DB1"/>
    <w:rsid w:val="2C9F1142"/>
    <w:rsid w:val="2CB126E1"/>
    <w:rsid w:val="2CB35BE4"/>
    <w:rsid w:val="2CB8206C"/>
    <w:rsid w:val="2CC1297B"/>
    <w:rsid w:val="2D121481"/>
    <w:rsid w:val="2D3D5B48"/>
    <w:rsid w:val="2D431C50"/>
    <w:rsid w:val="2D5A1875"/>
    <w:rsid w:val="2D5A7676"/>
    <w:rsid w:val="2D5C4D78"/>
    <w:rsid w:val="2D680B8A"/>
    <w:rsid w:val="2D6E0259"/>
    <w:rsid w:val="2D963C58"/>
    <w:rsid w:val="2DB3100A"/>
    <w:rsid w:val="2DB81C0E"/>
    <w:rsid w:val="2DC0289E"/>
    <w:rsid w:val="2E033291"/>
    <w:rsid w:val="2E246D3F"/>
    <w:rsid w:val="2E316055"/>
    <w:rsid w:val="2E521E0D"/>
    <w:rsid w:val="2E5C265F"/>
    <w:rsid w:val="2E5D6548"/>
    <w:rsid w:val="2E870FE2"/>
    <w:rsid w:val="2EF67098"/>
    <w:rsid w:val="2F043E2F"/>
    <w:rsid w:val="2F31727D"/>
    <w:rsid w:val="2F5B483E"/>
    <w:rsid w:val="2FDE4E17"/>
    <w:rsid w:val="300A115E"/>
    <w:rsid w:val="301F08EA"/>
    <w:rsid w:val="303D7F63"/>
    <w:rsid w:val="306B5D4B"/>
    <w:rsid w:val="30711E07"/>
    <w:rsid w:val="30792A97"/>
    <w:rsid w:val="30817EA3"/>
    <w:rsid w:val="308952B0"/>
    <w:rsid w:val="308D3CB6"/>
    <w:rsid w:val="30A30058"/>
    <w:rsid w:val="30AC7C7A"/>
    <w:rsid w:val="30E80B4C"/>
    <w:rsid w:val="312B28BA"/>
    <w:rsid w:val="312F34BF"/>
    <w:rsid w:val="313C4D53"/>
    <w:rsid w:val="314C0871"/>
    <w:rsid w:val="31575E16"/>
    <w:rsid w:val="317503B0"/>
    <w:rsid w:val="319A2078"/>
    <w:rsid w:val="319D7376"/>
    <w:rsid w:val="31B02B14"/>
    <w:rsid w:val="320A1F29"/>
    <w:rsid w:val="320F2B2D"/>
    <w:rsid w:val="32106030"/>
    <w:rsid w:val="324D5E95"/>
    <w:rsid w:val="326D0948"/>
    <w:rsid w:val="329F430C"/>
    <w:rsid w:val="32CC1FE7"/>
    <w:rsid w:val="32D94927"/>
    <w:rsid w:val="32E95D13"/>
    <w:rsid w:val="336268C9"/>
    <w:rsid w:val="33701470"/>
    <w:rsid w:val="337558F7"/>
    <w:rsid w:val="33BB6CF3"/>
    <w:rsid w:val="33BE2874"/>
    <w:rsid w:val="33E85C36"/>
    <w:rsid w:val="33E97114"/>
    <w:rsid w:val="342966A0"/>
    <w:rsid w:val="342B1BA3"/>
    <w:rsid w:val="34475748"/>
    <w:rsid w:val="346A4F0B"/>
    <w:rsid w:val="346E7194"/>
    <w:rsid w:val="348801E5"/>
    <w:rsid w:val="349C184B"/>
    <w:rsid w:val="34A15065"/>
    <w:rsid w:val="34B465B6"/>
    <w:rsid w:val="34E735DB"/>
    <w:rsid w:val="34EC41DF"/>
    <w:rsid w:val="34FB4DBF"/>
    <w:rsid w:val="350F11E8"/>
    <w:rsid w:val="35366BDD"/>
    <w:rsid w:val="356B3AE7"/>
    <w:rsid w:val="35915FF2"/>
    <w:rsid w:val="35A230B5"/>
    <w:rsid w:val="35A23D0E"/>
    <w:rsid w:val="35DE2F0C"/>
    <w:rsid w:val="35F36F90"/>
    <w:rsid w:val="35FE2DA3"/>
    <w:rsid w:val="36374475"/>
    <w:rsid w:val="3696201C"/>
    <w:rsid w:val="36973514"/>
    <w:rsid w:val="36C572E8"/>
    <w:rsid w:val="36C727EB"/>
    <w:rsid w:val="36E01197"/>
    <w:rsid w:val="371428EB"/>
    <w:rsid w:val="3720417F"/>
    <w:rsid w:val="37266088"/>
    <w:rsid w:val="372C44B0"/>
    <w:rsid w:val="37537E51"/>
    <w:rsid w:val="37564659"/>
    <w:rsid w:val="37712C84"/>
    <w:rsid w:val="379263CB"/>
    <w:rsid w:val="37982063"/>
    <w:rsid w:val="37A36CD7"/>
    <w:rsid w:val="37B0262F"/>
    <w:rsid w:val="37BE7480"/>
    <w:rsid w:val="37EA4BED"/>
    <w:rsid w:val="37F00FD4"/>
    <w:rsid w:val="38196915"/>
    <w:rsid w:val="381F62A0"/>
    <w:rsid w:val="38225026"/>
    <w:rsid w:val="38321B78"/>
    <w:rsid w:val="385122F2"/>
    <w:rsid w:val="385D1988"/>
    <w:rsid w:val="386A541B"/>
    <w:rsid w:val="38777FB4"/>
    <w:rsid w:val="387F1B3D"/>
    <w:rsid w:val="38822AC1"/>
    <w:rsid w:val="388572C9"/>
    <w:rsid w:val="38D73850"/>
    <w:rsid w:val="39093C9F"/>
    <w:rsid w:val="391E6B91"/>
    <w:rsid w:val="394E4794"/>
    <w:rsid w:val="39916502"/>
    <w:rsid w:val="39A62C24"/>
    <w:rsid w:val="39BC6E71"/>
    <w:rsid w:val="39ED5597"/>
    <w:rsid w:val="3A201269"/>
    <w:rsid w:val="3A22476C"/>
    <w:rsid w:val="3A5D0BDB"/>
    <w:rsid w:val="3A5F086E"/>
    <w:rsid w:val="3A883217"/>
    <w:rsid w:val="3A941228"/>
    <w:rsid w:val="3AC6527A"/>
    <w:rsid w:val="3B063AE5"/>
    <w:rsid w:val="3B0A1D81"/>
    <w:rsid w:val="3B251A37"/>
    <w:rsid w:val="3B806D64"/>
    <w:rsid w:val="3BB1414D"/>
    <w:rsid w:val="3BBF5492"/>
    <w:rsid w:val="3BED2ADE"/>
    <w:rsid w:val="3C045F86"/>
    <w:rsid w:val="3C0A7E90"/>
    <w:rsid w:val="3C2A4B41"/>
    <w:rsid w:val="3C317D4F"/>
    <w:rsid w:val="3C3E7065"/>
    <w:rsid w:val="3C62051E"/>
    <w:rsid w:val="3C9660A1"/>
    <w:rsid w:val="3CD54FDA"/>
    <w:rsid w:val="3CEE0102"/>
    <w:rsid w:val="3CFD619E"/>
    <w:rsid w:val="3D246E8B"/>
    <w:rsid w:val="3D313175"/>
    <w:rsid w:val="3D72615D"/>
    <w:rsid w:val="3D822D1E"/>
    <w:rsid w:val="3D8E5880"/>
    <w:rsid w:val="3DA87AD2"/>
    <w:rsid w:val="3DA962B7"/>
    <w:rsid w:val="3DDF0D0F"/>
    <w:rsid w:val="3DEE3528"/>
    <w:rsid w:val="3DF379B0"/>
    <w:rsid w:val="3DF52EB3"/>
    <w:rsid w:val="3DFD5D41"/>
    <w:rsid w:val="3E040F4F"/>
    <w:rsid w:val="3E667CEF"/>
    <w:rsid w:val="3E706080"/>
    <w:rsid w:val="3E900B33"/>
    <w:rsid w:val="3E9C23C7"/>
    <w:rsid w:val="3EAF5B65"/>
    <w:rsid w:val="3EEE694E"/>
    <w:rsid w:val="3F1012AA"/>
    <w:rsid w:val="3F1E169C"/>
    <w:rsid w:val="3F5301DE"/>
    <w:rsid w:val="3F5C2D71"/>
    <w:rsid w:val="3F7755AE"/>
    <w:rsid w:val="3F954B5E"/>
    <w:rsid w:val="3FBD249F"/>
    <w:rsid w:val="3FF461FC"/>
    <w:rsid w:val="3FF82684"/>
    <w:rsid w:val="40464981"/>
    <w:rsid w:val="40562A1D"/>
    <w:rsid w:val="406A2535"/>
    <w:rsid w:val="406E00C4"/>
    <w:rsid w:val="40741FCD"/>
    <w:rsid w:val="40957F84"/>
    <w:rsid w:val="409C7F95"/>
    <w:rsid w:val="40B21AB2"/>
    <w:rsid w:val="41331DD1"/>
    <w:rsid w:val="41333305"/>
    <w:rsid w:val="415006B7"/>
    <w:rsid w:val="415C0D58"/>
    <w:rsid w:val="419249A3"/>
    <w:rsid w:val="41957B26"/>
    <w:rsid w:val="419868AD"/>
    <w:rsid w:val="4199652C"/>
    <w:rsid w:val="419F4B9D"/>
    <w:rsid w:val="41B403DB"/>
    <w:rsid w:val="42014C57"/>
    <w:rsid w:val="42307D25"/>
    <w:rsid w:val="425B65EB"/>
    <w:rsid w:val="42C76F9F"/>
    <w:rsid w:val="42CC5625"/>
    <w:rsid w:val="42D2752E"/>
    <w:rsid w:val="43296B6C"/>
    <w:rsid w:val="436832A5"/>
    <w:rsid w:val="43C97374"/>
    <w:rsid w:val="43CE2645"/>
    <w:rsid w:val="43EC5A7C"/>
    <w:rsid w:val="44146C41"/>
    <w:rsid w:val="44524527"/>
    <w:rsid w:val="445F7FB9"/>
    <w:rsid w:val="446B2085"/>
    <w:rsid w:val="447E4FEB"/>
    <w:rsid w:val="448623F7"/>
    <w:rsid w:val="448C15B9"/>
    <w:rsid w:val="449B1E65"/>
    <w:rsid w:val="44D16FF4"/>
    <w:rsid w:val="44EA599F"/>
    <w:rsid w:val="45206C3C"/>
    <w:rsid w:val="45225AF9"/>
    <w:rsid w:val="456B24AD"/>
    <w:rsid w:val="456C5311"/>
    <w:rsid w:val="459F0946"/>
    <w:rsid w:val="45A324F9"/>
    <w:rsid w:val="45C75F46"/>
    <w:rsid w:val="45CA500D"/>
    <w:rsid w:val="45EF19CA"/>
    <w:rsid w:val="46117980"/>
    <w:rsid w:val="462640A2"/>
    <w:rsid w:val="462A632B"/>
    <w:rsid w:val="462E6F30"/>
    <w:rsid w:val="4679192E"/>
    <w:rsid w:val="468E7B13"/>
    <w:rsid w:val="46CA0433"/>
    <w:rsid w:val="46CE1038"/>
    <w:rsid w:val="46D77749"/>
    <w:rsid w:val="46F6477A"/>
    <w:rsid w:val="47064A15"/>
    <w:rsid w:val="47220AC2"/>
    <w:rsid w:val="472A5ECE"/>
    <w:rsid w:val="472F2356"/>
    <w:rsid w:val="47380A67"/>
    <w:rsid w:val="474B1C86"/>
    <w:rsid w:val="474E2C0B"/>
    <w:rsid w:val="47626028"/>
    <w:rsid w:val="47656FAD"/>
    <w:rsid w:val="47670FEE"/>
    <w:rsid w:val="47B76948"/>
    <w:rsid w:val="47B76DB7"/>
    <w:rsid w:val="47E0217A"/>
    <w:rsid w:val="47E64083"/>
    <w:rsid w:val="480B0A3F"/>
    <w:rsid w:val="486731C6"/>
    <w:rsid w:val="48775B70"/>
    <w:rsid w:val="487A2378"/>
    <w:rsid w:val="4891671A"/>
    <w:rsid w:val="48B05EC6"/>
    <w:rsid w:val="48F54240"/>
    <w:rsid w:val="48FE27EA"/>
    <w:rsid w:val="490152F9"/>
    <w:rsid w:val="49092EE1"/>
    <w:rsid w:val="4942653E"/>
    <w:rsid w:val="49512C42"/>
    <w:rsid w:val="4966327A"/>
    <w:rsid w:val="496C5184"/>
    <w:rsid w:val="497E7EEE"/>
    <w:rsid w:val="49963DC9"/>
    <w:rsid w:val="499D5953"/>
    <w:rsid w:val="49A330DF"/>
    <w:rsid w:val="49A91765"/>
    <w:rsid w:val="49AB3298"/>
    <w:rsid w:val="49C16E0C"/>
    <w:rsid w:val="4A152119"/>
    <w:rsid w:val="4A1C3CA2"/>
    <w:rsid w:val="4A5B32E8"/>
    <w:rsid w:val="4A7346B1"/>
    <w:rsid w:val="4A7843BC"/>
    <w:rsid w:val="4A8017C9"/>
    <w:rsid w:val="4A8E6560"/>
    <w:rsid w:val="4AC12232"/>
    <w:rsid w:val="4B1E4B4A"/>
    <w:rsid w:val="4B3734F6"/>
    <w:rsid w:val="4B383175"/>
    <w:rsid w:val="4B6F10D1"/>
    <w:rsid w:val="4BAA21AF"/>
    <w:rsid w:val="4BAB7C31"/>
    <w:rsid w:val="4C250016"/>
    <w:rsid w:val="4C5C7A55"/>
    <w:rsid w:val="4C8E3AA7"/>
    <w:rsid w:val="4CB14F60"/>
    <w:rsid w:val="4CB95DDF"/>
    <w:rsid w:val="4CBC6B75"/>
    <w:rsid w:val="4CBD45F6"/>
    <w:rsid w:val="4CCD4891"/>
    <w:rsid w:val="4CFA2DD6"/>
    <w:rsid w:val="4D0C4A13"/>
    <w:rsid w:val="4D490E08"/>
    <w:rsid w:val="4DC062CE"/>
    <w:rsid w:val="4DC34742"/>
    <w:rsid w:val="4DF30DF0"/>
    <w:rsid w:val="4DF420F5"/>
    <w:rsid w:val="4E001A1B"/>
    <w:rsid w:val="4E077A90"/>
    <w:rsid w:val="4E19322E"/>
    <w:rsid w:val="4E2F31D3"/>
    <w:rsid w:val="4E7A454C"/>
    <w:rsid w:val="4E914171"/>
    <w:rsid w:val="4EB621B3"/>
    <w:rsid w:val="4EBF34EE"/>
    <w:rsid w:val="4F01352B"/>
    <w:rsid w:val="4F124ACB"/>
    <w:rsid w:val="4F3A6B88"/>
    <w:rsid w:val="4F4D42D8"/>
    <w:rsid w:val="4F700845"/>
    <w:rsid w:val="4F9F2130"/>
    <w:rsid w:val="4FFD5B90"/>
    <w:rsid w:val="50651CDA"/>
    <w:rsid w:val="50DA6423"/>
    <w:rsid w:val="50E86BA6"/>
    <w:rsid w:val="5109751A"/>
    <w:rsid w:val="514A216C"/>
    <w:rsid w:val="51594984"/>
    <w:rsid w:val="51AC153D"/>
    <w:rsid w:val="51DE0461"/>
    <w:rsid w:val="51E754ED"/>
    <w:rsid w:val="51F46D81"/>
    <w:rsid w:val="521066B1"/>
    <w:rsid w:val="52116C97"/>
    <w:rsid w:val="522917DA"/>
    <w:rsid w:val="522D01E0"/>
    <w:rsid w:val="524E3F98"/>
    <w:rsid w:val="526D31C8"/>
    <w:rsid w:val="52964CB1"/>
    <w:rsid w:val="52AA302D"/>
    <w:rsid w:val="52AA68B0"/>
    <w:rsid w:val="52AC6530"/>
    <w:rsid w:val="52B513BE"/>
    <w:rsid w:val="52BB0D49"/>
    <w:rsid w:val="52C319D8"/>
    <w:rsid w:val="52F23421"/>
    <w:rsid w:val="52F7312C"/>
    <w:rsid w:val="53406363"/>
    <w:rsid w:val="53614D5A"/>
    <w:rsid w:val="53DF5628"/>
    <w:rsid w:val="53F6304F"/>
    <w:rsid w:val="54103BF9"/>
    <w:rsid w:val="542776F4"/>
    <w:rsid w:val="544817D4"/>
    <w:rsid w:val="547F7730"/>
    <w:rsid w:val="548B5741"/>
    <w:rsid w:val="54C02717"/>
    <w:rsid w:val="54C620A2"/>
    <w:rsid w:val="54D21907"/>
    <w:rsid w:val="54E028C4"/>
    <w:rsid w:val="54FA15F8"/>
    <w:rsid w:val="54FF3501"/>
    <w:rsid w:val="550F159D"/>
    <w:rsid w:val="552B7848"/>
    <w:rsid w:val="55373232"/>
    <w:rsid w:val="55401D6C"/>
    <w:rsid w:val="55454EF7"/>
    <w:rsid w:val="555723A7"/>
    <w:rsid w:val="55867A33"/>
    <w:rsid w:val="55893465"/>
    <w:rsid w:val="55922A70"/>
    <w:rsid w:val="55C4510D"/>
    <w:rsid w:val="55CC73D2"/>
    <w:rsid w:val="55D53D83"/>
    <w:rsid w:val="56037691"/>
    <w:rsid w:val="5604532D"/>
    <w:rsid w:val="561577C6"/>
    <w:rsid w:val="561B4F52"/>
    <w:rsid w:val="56226ADC"/>
    <w:rsid w:val="56257A60"/>
    <w:rsid w:val="56424E12"/>
    <w:rsid w:val="56A26130"/>
    <w:rsid w:val="56E65920"/>
    <w:rsid w:val="57152BEC"/>
    <w:rsid w:val="571E12FD"/>
    <w:rsid w:val="57271C0D"/>
    <w:rsid w:val="5735569F"/>
    <w:rsid w:val="573B502A"/>
    <w:rsid w:val="57472BEF"/>
    <w:rsid w:val="574A003F"/>
    <w:rsid w:val="574C0B47"/>
    <w:rsid w:val="57753F0A"/>
    <w:rsid w:val="577E261B"/>
    <w:rsid w:val="577E790E"/>
    <w:rsid w:val="57975744"/>
    <w:rsid w:val="579A66C8"/>
    <w:rsid w:val="57A046BB"/>
    <w:rsid w:val="57CB6E97"/>
    <w:rsid w:val="57EA3EC9"/>
    <w:rsid w:val="58021570"/>
    <w:rsid w:val="581F309E"/>
    <w:rsid w:val="582B01B6"/>
    <w:rsid w:val="583974CB"/>
    <w:rsid w:val="5854137A"/>
    <w:rsid w:val="58587D80"/>
    <w:rsid w:val="589233DD"/>
    <w:rsid w:val="58B4529D"/>
    <w:rsid w:val="58C603B4"/>
    <w:rsid w:val="58D36F7C"/>
    <w:rsid w:val="58EF7EF3"/>
    <w:rsid w:val="590B30A7"/>
    <w:rsid w:val="592D105D"/>
    <w:rsid w:val="59311C62"/>
    <w:rsid w:val="59635CB4"/>
    <w:rsid w:val="59785C59"/>
    <w:rsid w:val="59820767"/>
    <w:rsid w:val="59AF6DE8"/>
    <w:rsid w:val="59C0604D"/>
    <w:rsid w:val="5A0C4E48"/>
    <w:rsid w:val="5A47502D"/>
    <w:rsid w:val="5A5468C1"/>
    <w:rsid w:val="5A7D1C84"/>
    <w:rsid w:val="5A9A37B2"/>
    <w:rsid w:val="5A9E21B8"/>
    <w:rsid w:val="5AB630E2"/>
    <w:rsid w:val="5ACA6500"/>
    <w:rsid w:val="5AD51FE0"/>
    <w:rsid w:val="5AFD3754"/>
    <w:rsid w:val="5B1024F7"/>
    <w:rsid w:val="5B140EFE"/>
    <w:rsid w:val="5B3B333C"/>
    <w:rsid w:val="5B432946"/>
    <w:rsid w:val="5B690A8E"/>
    <w:rsid w:val="5B7F079B"/>
    <w:rsid w:val="5B895639"/>
    <w:rsid w:val="5B914F79"/>
    <w:rsid w:val="5B9723D0"/>
    <w:rsid w:val="5B9E1D5B"/>
    <w:rsid w:val="5C0A490D"/>
    <w:rsid w:val="5C1761A2"/>
    <w:rsid w:val="5C576F8B"/>
    <w:rsid w:val="5C7774C0"/>
    <w:rsid w:val="5CD37BDA"/>
    <w:rsid w:val="5CD4565B"/>
    <w:rsid w:val="5CEA77FF"/>
    <w:rsid w:val="5D1E0F52"/>
    <w:rsid w:val="5D273DE0"/>
    <w:rsid w:val="5D2B27E7"/>
    <w:rsid w:val="5DB15504"/>
    <w:rsid w:val="5DE83E9E"/>
    <w:rsid w:val="5DEA73A2"/>
    <w:rsid w:val="5E0D4847"/>
    <w:rsid w:val="5E774A07"/>
    <w:rsid w:val="5E882E74"/>
    <w:rsid w:val="5EA57AD5"/>
    <w:rsid w:val="5F255E00"/>
    <w:rsid w:val="5F7601AD"/>
    <w:rsid w:val="5F7C7B38"/>
    <w:rsid w:val="5F8E7A52"/>
    <w:rsid w:val="5FAE2505"/>
    <w:rsid w:val="5FBA1B9B"/>
    <w:rsid w:val="5FC03AA5"/>
    <w:rsid w:val="5FF850C6"/>
    <w:rsid w:val="600A2C1F"/>
    <w:rsid w:val="600F12A5"/>
    <w:rsid w:val="60106D27"/>
    <w:rsid w:val="602A1982"/>
    <w:rsid w:val="607A0954"/>
    <w:rsid w:val="6093674C"/>
    <w:rsid w:val="60B146B2"/>
    <w:rsid w:val="60CC08DE"/>
    <w:rsid w:val="60CD61E0"/>
    <w:rsid w:val="60F715A3"/>
    <w:rsid w:val="610E11C8"/>
    <w:rsid w:val="612A5275"/>
    <w:rsid w:val="613A550F"/>
    <w:rsid w:val="61931421"/>
    <w:rsid w:val="619E0AB7"/>
    <w:rsid w:val="61A11A3C"/>
    <w:rsid w:val="61EA78B2"/>
    <w:rsid w:val="61F50583"/>
    <w:rsid w:val="620C10EB"/>
    <w:rsid w:val="622C3B9E"/>
    <w:rsid w:val="62386962"/>
    <w:rsid w:val="625008DB"/>
    <w:rsid w:val="62695C01"/>
    <w:rsid w:val="626D4608"/>
    <w:rsid w:val="629E645C"/>
    <w:rsid w:val="62BA2508"/>
    <w:rsid w:val="6303631E"/>
    <w:rsid w:val="631C34A7"/>
    <w:rsid w:val="639F3A80"/>
    <w:rsid w:val="63B32720"/>
    <w:rsid w:val="63D17F9E"/>
    <w:rsid w:val="63E541F4"/>
    <w:rsid w:val="640D40B4"/>
    <w:rsid w:val="641B0E4B"/>
    <w:rsid w:val="641E665D"/>
    <w:rsid w:val="642052D3"/>
    <w:rsid w:val="643C1380"/>
    <w:rsid w:val="64403609"/>
    <w:rsid w:val="644E4597"/>
    <w:rsid w:val="646D6AED"/>
    <w:rsid w:val="64A4332E"/>
    <w:rsid w:val="64A864B1"/>
    <w:rsid w:val="64EF46A6"/>
    <w:rsid w:val="65083052"/>
    <w:rsid w:val="650C465E"/>
    <w:rsid w:val="651954EB"/>
    <w:rsid w:val="654C6FBE"/>
    <w:rsid w:val="656E29F6"/>
    <w:rsid w:val="65A2414A"/>
    <w:rsid w:val="65CA788D"/>
    <w:rsid w:val="65E14D38"/>
    <w:rsid w:val="65E579AD"/>
    <w:rsid w:val="66025468"/>
    <w:rsid w:val="660563ED"/>
    <w:rsid w:val="661F4D98"/>
    <w:rsid w:val="662B4F9A"/>
    <w:rsid w:val="66360241"/>
    <w:rsid w:val="667808A5"/>
    <w:rsid w:val="66A96EFB"/>
    <w:rsid w:val="66C52FA8"/>
    <w:rsid w:val="66CF7E12"/>
    <w:rsid w:val="66DB514B"/>
    <w:rsid w:val="66E75E27"/>
    <w:rsid w:val="67092797"/>
    <w:rsid w:val="67184FB0"/>
    <w:rsid w:val="67673E36"/>
    <w:rsid w:val="6767412F"/>
    <w:rsid w:val="67A7359A"/>
    <w:rsid w:val="67C32ECB"/>
    <w:rsid w:val="67C718D1"/>
    <w:rsid w:val="67E36C7A"/>
    <w:rsid w:val="680726BA"/>
    <w:rsid w:val="68213264"/>
    <w:rsid w:val="682A438F"/>
    <w:rsid w:val="68344483"/>
    <w:rsid w:val="68503DB3"/>
    <w:rsid w:val="68624F20"/>
    <w:rsid w:val="6870183D"/>
    <w:rsid w:val="68A2033A"/>
    <w:rsid w:val="68C504EF"/>
    <w:rsid w:val="69010354"/>
    <w:rsid w:val="69033857"/>
    <w:rsid w:val="69111530"/>
    <w:rsid w:val="691E5706"/>
    <w:rsid w:val="6923630A"/>
    <w:rsid w:val="69711CCD"/>
    <w:rsid w:val="69A27EDD"/>
    <w:rsid w:val="69AD29EB"/>
    <w:rsid w:val="69B82081"/>
    <w:rsid w:val="69CA3620"/>
    <w:rsid w:val="69CA7D9D"/>
    <w:rsid w:val="6A0568FD"/>
    <w:rsid w:val="6A1D1DA5"/>
    <w:rsid w:val="6A2D21C3"/>
    <w:rsid w:val="6A5E280F"/>
    <w:rsid w:val="6A7214AF"/>
    <w:rsid w:val="6A9E35F8"/>
    <w:rsid w:val="6B3602F4"/>
    <w:rsid w:val="6B422321"/>
    <w:rsid w:val="6B6E7213"/>
    <w:rsid w:val="6B7226D7"/>
    <w:rsid w:val="6B914D8D"/>
    <w:rsid w:val="6BA01F21"/>
    <w:rsid w:val="6BD15F74"/>
    <w:rsid w:val="6BD623FB"/>
    <w:rsid w:val="6BFD03E4"/>
    <w:rsid w:val="6C2F4AF2"/>
    <w:rsid w:val="6C313A0F"/>
    <w:rsid w:val="6C416227"/>
    <w:rsid w:val="6C5703CB"/>
    <w:rsid w:val="6C5E57D7"/>
    <w:rsid w:val="6C6D7436"/>
    <w:rsid w:val="6C891E9F"/>
    <w:rsid w:val="6CC805B2"/>
    <w:rsid w:val="6CCC5E0B"/>
    <w:rsid w:val="6CF724D3"/>
    <w:rsid w:val="6D121871"/>
    <w:rsid w:val="6D1B140E"/>
    <w:rsid w:val="6D2D712A"/>
    <w:rsid w:val="6D6A2812"/>
    <w:rsid w:val="6D6F0E98"/>
    <w:rsid w:val="6D813038"/>
    <w:rsid w:val="6D947740"/>
    <w:rsid w:val="6DA11102"/>
    <w:rsid w:val="6DBB3515"/>
    <w:rsid w:val="6DC30922"/>
    <w:rsid w:val="6DEC1AE6"/>
    <w:rsid w:val="6EB56FB1"/>
    <w:rsid w:val="6F085736"/>
    <w:rsid w:val="6F2F55F5"/>
    <w:rsid w:val="6F306560"/>
    <w:rsid w:val="6F663E02"/>
    <w:rsid w:val="6FA974BD"/>
    <w:rsid w:val="6FBA1D55"/>
    <w:rsid w:val="6FE67322"/>
    <w:rsid w:val="701D527E"/>
    <w:rsid w:val="70231C25"/>
    <w:rsid w:val="704F6D52"/>
    <w:rsid w:val="70625B7B"/>
    <w:rsid w:val="70876EAC"/>
    <w:rsid w:val="70F10AD9"/>
    <w:rsid w:val="71255AB0"/>
    <w:rsid w:val="71465FE5"/>
    <w:rsid w:val="7150308A"/>
    <w:rsid w:val="71597204"/>
    <w:rsid w:val="717B0243"/>
    <w:rsid w:val="719C3171"/>
    <w:rsid w:val="71A670BA"/>
    <w:rsid w:val="71AF2191"/>
    <w:rsid w:val="71C233B0"/>
    <w:rsid w:val="71D545CF"/>
    <w:rsid w:val="71F21981"/>
    <w:rsid w:val="71FB480F"/>
    <w:rsid w:val="722A1ADB"/>
    <w:rsid w:val="726254B8"/>
    <w:rsid w:val="72BA00C5"/>
    <w:rsid w:val="72BB4E08"/>
    <w:rsid w:val="72BE485C"/>
    <w:rsid w:val="72FF663B"/>
    <w:rsid w:val="730541A5"/>
    <w:rsid w:val="73231CF3"/>
    <w:rsid w:val="736D6C6F"/>
    <w:rsid w:val="738E13A2"/>
    <w:rsid w:val="73A722CC"/>
    <w:rsid w:val="73CC6C88"/>
    <w:rsid w:val="7427609D"/>
    <w:rsid w:val="74563369"/>
    <w:rsid w:val="74680181"/>
    <w:rsid w:val="7499095B"/>
    <w:rsid w:val="74B31BEE"/>
    <w:rsid w:val="74EA165E"/>
    <w:rsid w:val="75117320"/>
    <w:rsid w:val="751C56B1"/>
    <w:rsid w:val="75234649"/>
    <w:rsid w:val="75557901"/>
    <w:rsid w:val="75E43E1F"/>
    <w:rsid w:val="76016C28"/>
    <w:rsid w:val="76043E58"/>
    <w:rsid w:val="76070B31"/>
    <w:rsid w:val="76587637"/>
    <w:rsid w:val="765F4A43"/>
    <w:rsid w:val="76756BE7"/>
    <w:rsid w:val="768B0D8B"/>
    <w:rsid w:val="768D5C0B"/>
    <w:rsid w:val="76A07A2B"/>
    <w:rsid w:val="76B0048A"/>
    <w:rsid w:val="76F04D5F"/>
    <w:rsid w:val="77276A0B"/>
    <w:rsid w:val="77311518"/>
    <w:rsid w:val="777E4E9B"/>
    <w:rsid w:val="77D67AA8"/>
    <w:rsid w:val="77FE53E9"/>
    <w:rsid w:val="7843265A"/>
    <w:rsid w:val="78913A5E"/>
    <w:rsid w:val="79147BBC"/>
    <w:rsid w:val="791F0D44"/>
    <w:rsid w:val="792A70D5"/>
    <w:rsid w:val="796A639A"/>
    <w:rsid w:val="7970564B"/>
    <w:rsid w:val="799022FC"/>
    <w:rsid w:val="79980C33"/>
    <w:rsid w:val="79A044B0"/>
    <w:rsid w:val="79B85A3F"/>
    <w:rsid w:val="79EA35FD"/>
    <w:rsid w:val="7A03263B"/>
    <w:rsid w:val="7A057D3D"/>
    <w:rsid w:val="7A0B54C9"/>
    <w:rsid w:val="7A3D151B"/>
    <w:rsid w:val="7A4C04B1"/>
    <w:rsid w:val="7A6D6467"/>
    <w:rsid w:val="7A8B129B"/>
    <w:rsid w:val="7A920C25"/>
    <w:rsid w:val="7A9E734F"/>
    <w:rsid w:val="7AA159BD"/>
    <w:rsid w:val="7AB4245F"/>
    <w:rsid w:val="7AC41596"/>
    <w:rsid w:val="7AC96B81"/>
    <w:rsid w:val="7ACB6801"/>
    <w:rsid w:val="7ACD1D04"/>
    <w:rsid w:val="7AD44F12"/>
    <w:rsid w:val="7B2A7E9F"/>
    <w:rsid w:val="7B3769CC"/>
    <w:rsid w:val="7B3A013A"/>
    <w:rsid w:val="7BDD4DDA"/>
    <w:rsid w:val="7BEC215B"/>
    <w:rsid w:val="7C476FF2"/>
    <w:rsid w:val="7C5C5C93"/>
    <w:rsid w:val="7C9D7D81"/>
    <w:rsid w:val="7CBA3AAE"/>
    <w:rsid w:val="7CEA207E"/>
    <w:rsid w:val="7CF5040F"/>
    <w:rsid w:val="7D0D0F1C"/>
    <w:rsid w:val="7D19734A"/>
    <w:rsid w:val="7D1F1254"/>
    <w:rsid w:val="7D2334DD"/>
    <w:rsid w:val="7D264462"/>
    <w:rsid w:val="7D271EE3"/>
    <w:rsid w:val="7D40500C"/>
    <w:rsid w:val="7D5B6EBA"/>
    <w:rsid w:val="7D867CFE"/>
    <w:rsid w:val="7D8B6384"/>
    <w:rsid w:val="7D996755"/>
    <w:rsid w:val="7D9F2E27"/>
    <w:rsid w:val="7DC242E0"/>
    <w:rsid w:val="7DDE038D"/>
    <w:rsid w:val="7DEA7A23"/>
    <w:rsid w:val="7DF0192C"/>
    <w:rsid w:val="7DF76D39"/>
    <w:rsid w:val="7E070738"/>
    <w:rsid w:val="7E1D36F5"/>
    <w:rsid w:val="7E1E3650"/>
    <w:rsid w:val="7E294F89"/>
    <w:rsid w:val="7E6263E8"/>
    <w:rsid w:val="7E765088"/>
    <w:rsid w:val="7E8C15C8"/>
    <w:rsid w:val="7E987174"/>
    <w:rsid w:val="7EAF2C64"/>
    <w:rsid w:val="7F097E7A"/>
    <w:rsid w:val="7F3B60CB"/>
    <w:rsid w:val="7F4F4D6C"/>
    <w:rsid w:val="7F8477C4"/>
    <w:rsid w:val="7FA347F6"/>
    <w:rsid w:val="7FBC31A1"/>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6">
    <w:name w:val="heading 3"/>
    <w:basedOn w:val="1"/>
    <w:next w:val="1"/>
    <w:qFormat/>
    <w:uiPriority w:val="0"/>
    <w:pPr>
      <w:keepNext/>
      <w:keepLines/>
      <w:spacing w:before="260" w:after="260" w:line="415" w:lineRule="auto"/>
      <w:outlineLvl w:val="2"/>
    </w:pPr>
    <w:rPr>
      <w:b/>
      <w:sz w:val="32"/>
      <w:szCs w:val="32"/>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7">
    <w:name w:val="Normal Indent"/>
    <w:basedOn w:val="1"/>
    <w:link w:val="31"/>
    <w:qFormat/>
    <w:uiPriority w:val="0"/>
    <w:pPr>
      <w:ind w:firstLine="420" w:firstLineChars="200"/>
    </w:pPr>
    <w:rPr>
      <w:rFonts w:ascii="Times New Roman"/>
      <w:kern w:val="2"/>
      <w:sz w:val="21"/>
      <w:szCs w:val="24"/>
    </w:rPr>
  </w:style>
  <w:style w:type="paragraph" w:styleId="8">
    <w:name w:val="annotation text"/>
    <w:basedOn w:val="1"/>
    <w:qFormat/>
    <w:uiPriority w:val="0"/>
    <w:pPr>
      <w:jc w:val="left"/>
    </w:pPr>
    <w:rPr>
      <w:rFonts w:ascii="Times New Roman"/>
    </w:rPr>
  </w:style>
  <w:style w:type="paragraph" w:styleId="9">
    <w:name w:val="Body Text"/>
    <w:basedOn w:val="1"/>
    <w:qFormat/>
    <w:uiPriority w:val="0"/>
    <w:pPr>
      <w:spacing w:after="120"/>
    </w:pPr>
    <w:rPr>
      <w:rFonts w:ascii="Times New Roman"/>
    </w:rPr>
  </w:style>
  <w:style w:type="paragraph" w:styleId="10">
    <w:name w:val="Body Text Indent"/>
    <w:basedOn w:val="1"/>
    <w:link w:val="39"/>
    <w:qFormat/>
    <w:uiPriority w:val="0"/>
    <w:pPr>
      <w:ind w:firstLine="630"/>
    </w:pPr>
    <w:rPr>
      <w:rFonts w:ascii="Times New Roman"/>
      <w:kern w:val="2"/>
      <w:sz w:val="32"/>
    </w:rPr>
  </w:style>
  <w:style w:type="paragraph" w:styleId="11">
    <w:name w:val="Plain Text"/>
    <w:basedOn w:val="1"/>
    <w:link w:val="48"/>
    <w:qFormat/>
    <w:uiPriority w:val="0"/>
    <w:rPr>
      <w:rFonts w:hAnsi="Courier New"/>
      <w:kern w:val="2"/>
      <w:sz w:val="21"/>
    </w:rPr>
  </w:style>
  <w:style w:type="paragraph" w:styleId="12">
    <w:name w:val="Body Text Indent 2"/>
    <w:basedOn w:val="1"/>
    <w:qFormat/>
    <w:uiPriority w:val="0"/>
    <w:pPr>
      <w:ind w:firstLine="630"/>
    </w:pPr>
    <w:rPr>
      <w:sz w:val="32"/>
      <w:szCs w:val="32"/>
    </w:rPr>
  </w:style>
  <w:style w:type="paragraph" w:styleId="13">
    <w:name w:val="Balloon Text"/>
    <w:basedOn w:val="1"/>
    <w:qFormat/>
    <w:uiPriority w:val="0"/>
    <w:rPr>
      <w:rFonts w:ascii="Times New Roman"/>
      <w:sz w:val="18"/>
      <w:szCs w:val="18"/>
    </w:rPr>
  </w:style>
  <w:style w:type="paragraph" w:styleId="14">
    <w:name w:val="footer"/>
    <w:basedOn w:val="1"/>
    <w:qFormat/>
    <w:uiPriority w:val="0"/>
    <w:pPr>
      <w:tabs>
        <w:tab w:val="center" w:pos="4140"/>
        <w:tab w:val="right" w:pos="8300"/>
      </w:tabs>
      <w:jc w:val="left"/>
    </w:pPr>
    <w:rPr>
      <w:sz w:val="18"/>
      <w:szCs w:val="18"/>
    </w:rPr>
  </w:style>
  <w:style w:type="paragraph" w:styleId="15">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6">
    <w:name w:val="toc 1"/>
    <w:basedOn w:val="1"/>
    <w:next w:val="1"/>
    <w:qFormat/>
    <w:uiPriority w:val="0"/>
  </w:style>
  <w:style w:type="paragraph" w:styleId="17">
    <w:name w:val="Body Text Indent 3"/>
    <w:basedOn w:val="1"/>
    <w:qFormat/>
    <w:uiPriority w:val="0"/>
    <w:pPr>
      <w:spacing w:after="120"/>
      <w:ind w:left="420" w:leftChars="200"/>
    </w:pPr>
    <w:rPr>
      <w:rFonts w:ascii="Times New Roman"/>
      <w:sz w:val="16"/>
      <w:szCs w:val="16"/>
    </w:rPr>
  </w:style>
  <w:style w:type="paragraph" w:styleId="18">
    <w:name w:val="toc 2"/>
    <w:basedOn w:val="1"/>
    <w:next w:val="1"/>
    <w:qFormat/>
    <w:uiPriority w:val="0"/>
    <w:pPr>
      <w:ind w:left="420" w:leftChars="200"/>
    </w:pPr>
    <w:rPr>
      <w:rFonts w:ascii="Times New Roman"/>
    </w:rPr>
  </w:style>
  <w:style w:type="paragraph" w:styleId="19">
    <w:name w:val="Body Text 2"/>
    <w:basedOn w:val="1"/>
    <w:qFormat/>
    <w:uiPriority w:val="0"/>
    <w:pPr>
      <w:spacing w:line="480" w:lineRule="auto"/>
    </w:pPr>
    <w:rPr>
      <w:rFonts w:ascii="Times New Roman"/>
    </w:rPr>
  </w:style>
  <w:style w:type="paragraph" w:styleId="20">
    <w:name w:val="Normal (Web)"/>
    <w:basedOn w:val="1"/>
    <w:qFormat/>
    <w:uiPriority w:val="0"/>
    <w:pPr>
      <w:widowControl/>
      <w:spacing w:before="100" w:beforeAutospacing="1" w:after="100" w:afterAutospacing="1"/>
      <w:jc w:val="left"/>
    </w:pPr>
    <w:rPr>
      <w:rFonts w:hAnsi="宋体"/>
      <w:sz w:val="18"/>
      <w:szCs w:val="18"/>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rFonts w:ascii="Times New Roman" w:hAnsi="Times New Roman" w:eastAsia="宋体" w:cs="Times New Roman"/>
      <w:b/>
      <w:bCs/>
    </w:r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Arial" w:hAnsi="Arial" w:eastAsia="宋体" w:cs="Arial"/>
      <w:color w:val="007CD2"/>
      <w:sz w:val="24"/>
      <w:szCs w:val="24"/>
      <w:u w:val="none"/>
    </w:rPr>
  </w:style>
  <w:style w:type="character" w:styleId="27">
    <w:name w:val="Hyperlink"/>
    <w:qFormat/>
    <w:uiPriority w:val="0"/>
    <w:rPr>
      <w:rFonts w:ascii="Times New Roman" w:hAnsi="Times New Roman" w:eastAsia="宋体" w:cs="Times New Roman"/>
      <w:color w:val="0000FF"/>
      <w:u w:val="single"/>
    </w:rPr>
  </w:style>
  <w:style w:type="character" w:styleId="28">
    <w:name w:val="annotation reference"/>
    <w:qFormat/>
    <w:uiPriority w:val="0"/>
    <w:rPr>
      <w:rFonts w:cs="Times New Roman"/>
      <w:sz w:val="21"/>
      <w:szCs w:val="21"/>
    </w:rPr>
  </w:style>
  <w:style w:type="character" w:customStyle="1" w:styleId="29">
    <w:name w:val="font31"/>
    <w:qFormat/>
    <w:uiPriority w:val="0"/>
    <w:rPr>
      <w:rFonts w:hint="eastAsia" w:ascii="宋体" w:hAnsi="宋体" w:eastAsia="宋体" w:cs="宋体"/>
      <w:b/>
      <w:color w:val="000000"/>
      <w:sz w:val="22"/>
      <w:szCs w:val="22"/>
      <w:u w:val="none"/>
    </w:rPr>
  </w:style>
  <w:style w:type="character" w:customStyle="1" w:styleId="30">
    <w:name w:val="style1"/>
    <w:qFormat/>
    <w:uiPriority w:val="0"/>
    <w:rPr>
      <w:rFonts w:ascii="Times New Roman" w:hAnsi="Times New Roman" w:eastAsia="宋体" w:cs="Times New Roman"/>
    </w:rPr>
  </w:style>
  <w:style w:type="character" w:customStyle="1" w:styleId="31">
    <w:name w:val="正文缩进 Char"/>
    <w:link w:val="7"/>
    <w:qFormat/>
    <w:uiPriority w:val="0"/>
    <w:rPr>
      <w:rFonts w:ascii="Times New Roman" w:hAnsi="Times New Roman" w:eastAsia="宋体" w:cs="Times New Roman"/>
      <w:kern w:val="2"/>
      <w:sz w:val="21"/>
      <w:szCs w:val="24"/>
      <w:lang w:val="en-US" w:eastAsia="zh-CN" w:bidi="ar-SA"/>
    </w:rPr>
  </w:style>
  <w:style w:type="character" w:customStyle="1" w:styleId="32">
    <w:name w:val="apple-converted-space"/>
    <w:qFormat/>
    <w:uiPriority w:val="0"/>
    <w:rPr>
      <w:rFonts w:ascii="Times New Roman" w:hAnsi="Times New Roman" w:eastAsia="宋体" w:cs="Times New Roman"/>
    </w:rPr>
  </w:style>
  <w:style w:type="character" w:customStyle="1" w:styleId="33">
    <w:name w:val="font81"/>
    <w:qFormat/>
    <w:uiPriority w:val="0"/>
    <w:rPr>
      <w:rFonts w:hint="eastAsia" w:ascii="宋体" w:hAnsi="宋体" w:eastAsia="宋体" w:cs="宋体"/>
      <w:b/>
      <w:color w:val="000000"/>
      <w:sz w:val="22"/>
      <w:szCs w:val="22"/>
      <w:u w:val="none"/>
    </w:rPr>
  </w:style>
  <w:style w:type="character" w:customStyle="1" w:styleId="34">
    <w:name w:val="tdrownotice1"/>
    <w:qFormat/>
    <w:uiPriority w:val="0"/>
    <w:rPr>
      <w:rFonts w:hint="default" w:ascii="Times New Roman" w:hAnsi="Times New Roman" w:eastAsia="宋体" w:cs="Times New Roman"/>
      <w:sz w:val="22"/>
    </w:rPr>
  </w:style>
  <w:style w:type="character" w:customStyle="1" w:styleId="35">
    <w:name w:val="表正文 Char1"/>
    <w:qFormat/>
    <w:uiPriority w:val="0"/>
    <w:rPr>
      <w:rFonts w:ascii="Times New Roman" w:hAnsi="Times New Roman" w:eastAsia="宋体" w:cs="Times New Roman"/>
      <w:kern w:val="2"/>
      <w:sz w:val="21"/>
      <w:szCs w:val="24"/>
      <w:lang w:val="en-US" w:eastAsia="zh-CN" w:bidi="ar-SA"/>
    </w:rPr>
  </w:style>
  <w:style w:type="character" w:customStyle="1" w:styleId="36">
    <w:name w:val="font61"/>
    <w:qFormat/>
    <w:uiPriority w:val="0"/>
    <w:rPr>
      <w:rFonts w:hint="eastAsia" w:ascii="微软雅黑" w:hAnsi="微软雅黑" w:eastAsia="微软雅黑" w:cs="微软雅黑"/>
      <w:b/>
      <w:color w:val="000000"/>
      <w:sz w:val="22"/>
      <w:szCs w:val="22"/>
      <w:u w:val="none"/>
    </w:rPr>
  </w:style>
  <w:style w:type="character" w:customStyle="1" w:styleId="37">
    <w:name w:val="font71"/>
    <w:qFormat/>
    <w:uiPriority w:val="0"/>
    <w:rPr>
      <w:rFonts w:hint="eastAsia" w:ascii="宋体" w:hAnsi="宋体" w:eastAsia="宋体" w:cs="宋体"/>
      <w:color w:val="000000"/>
      <w:sz w:val="20"/>
      <w:szCs w:val="20"/>
      <w:u w:val="none"/>
    </w:rPr>
  </w:style>
  <w:style w:type="character" w:customStyle="1" w:styleId="38">
    <w:name w:val="font01"/>
    <w:qFormat/>
    <w:uiPriority w:val="0"/>
    <w:rPr>
      <w:rFonts w:hint="eastAsia" w:ascii="宋体" w:hAnsi="宋体" w:eastAsia="宋体" w:cs="宋体"/>
      <w:i/>
      <w:color w:val="000000"/>
      <w:sz w:val="20"/>
      <w:szCs w:val="20"/>
      <w:u w:val="none"/>
    </w:rPr>
  </w:style>
  <w:style w:type="character" w:customStyle="1" w:styleId="39">
    <w:name w:val="正文文本缩进 Char"/>
    <w:link w:val="10"/>
    <w:qFormat/>
    <w:uiPriority w:val="0"/>
    <w:rPr>
      <w:rFonts w:ascii="Times New Roman" w:hAnsi="Times New Roman" w:eastAsia="宋体" w:cs="Times New Roman"/>
      <w:kern w:val="2"/>
      <w:sz w:val="32"/>
      <w:lang w:val="en-US" w:eastAsia="zh-CN" w:bidi="ar-SA"/>
    </w:rPr>
  </w:style>
  <w:style w:type="character" w:customStyle="1" w:styleId="40">
    <w:name w:val="页码1"/>
    <w:qFormat/>
    <w:uiPriority w:val="0"/>
    <w:rPr>
      <w:rFonts w:ascii="Times New Roman" w:hAnsi="Times New Roman" w:eastAsia="宋体" w:cs="Times New Roman"/>
    </w:rPr>
  </w:style>
  <w:style w:type="character" w:customStyle="1" w:styleId="41">
    <w:name w:val="font41"/>
    <w:qFormat/>
    <w:uiPriority w:val="0"/>
    <w:rPr>
      <w:rFonts w:hint="eastAsia" w:ascii="宋体" w:hAnsi="宋体" w:eastAsia="宋体" w:cs="宋体"/>
      <w:color w:val="000000"/>
      <w:sz w:val="24"/>
      <w:szCs w:val="24"/>
      <w:u w:val="none"/>
    </w:rPr>
  </w:style>
  <w:style w:type="character" w:customStyle="1" w:styleId="42">
    <w:name w:val="font111"/>
    <w:qFormat/>
    <w:uiPriority w:val="0"/>
    <w:rPr>
      <w:rFonts w:hint="eastAsia" w:ascii="宋体" w:hAnsi="宋体" w:eastAsia="宋体" w:cs="宋体"/>
      <w:b/>
      <w:color w:val="000000"/>
      <w:sz w:val="32"/>
      <w:szCs w:val="32"/>
      <w:u w:val="none"/>
    </w:rPr>
  </w:style>
  <w:style w:type="character" w:customStyle="1" w:styleId="43">
    <w:name w:val="（符号）邀请函中一、"/>
    <w:qFormat/>
    <w:uiPriority w:val="0"/>
    <w:rPr>
      <w:rFonts w:ascii="黑体" w:hAnsi="黑体" w:eastAsia="黑体" w:cs="Times New Roman"/>
      <w:b/>
      <w:bCs/>
      <w:sz w:val="24"/>
    </w:rPr>
  </w:style>
  <w:style w:type="character" w:customStyle="1" w:styleId="44">
    <w:name w:val="font11"/>
    <w:qFormat/>
    <w:uiPriority w:val="0"/>
    <w:rPr>
      <w:rFonts w:hint="eastAsia" w:ascii="宋体" w:hAnsi="宋体" w:eastAsia="宋体" w:cs="宋体"/>
      <w:color w:val="000000"/>
      <w:sz w:val="24"/>
      <w:szCs w:val="24"/>
      <w:u w:val="none"/>
    </w:rPr>
  </w:style>
  <w:style w:type="character" w:customStyle="1" w:styleId="45">
    <w:name w:val="font21"/>
    <w:qFormat/>
    <w:uiPriority w:val="0"/>
    <w:rPr>
      <w:rFonts w:hint="eastAsia" w:ascii="宋体" w:hAnsi="宋体" w:eastAsia="宋体" w:cs="宋体"/>
      <w:color w:val="000000"/>
      <w:sz w:val="20"/>
      <w:szCs w:val="20"/>
      <w:u w:val="none"/>
    </w:rPr>
  </w:style>
  <w:style w:type="character" w:customStyle="1" w:styleId="46">
    <w:name w:val="左对齐的表内文字 Char"/>
    <w:link w:val="47"/>
    <w:qFormat/>
    <w:uiPriority w:val="0"/>
    <w:rPr>
      <w:rFonts w:ascii="Times New Roman" w:hAnsi="Times New Roman" w:eastAsia="仿宋_GB2312" w:cs="Times New Roman"/>
      <w:kern w:val="2"/>
      <w:sz w:val="21"/>
      <w:lang w:bidi="ar-SA"/>
    </w:rPr>
  </w:style>
  <w:style w:type="paragraph" w:customStyle="1" w:styleId="47">
    <w:name w:val="左对齐的表内文字"/>
    <w:basedOn w:val="1"/>
    <w:link w:val="46"/>
    <w:qFormat/>
    <w:uiPriority w:val="0"/>
    <w:rPr>
      <w:rFonts w:ascii="Times New Roman" w:eastAsia="仿宋_GB2312"/>
      <w:kern w:val="2"/>
      <w:sz w:val="21"/>
    </w:rPr>
  </w:style>
  <w:style w:type="character" w:customStyle="1" w:styleId="48">
    <w:name w:val="纯文本 Char"/>
    <w:link w:val="11"/>
    <w:qFormat/>
    <w:uiPriority w:val="0"/>
    <w:rPr>
      <w:rFonts w:ascii="宋体" w:hAnsi="Courier New" w:eastAsia="宋体" w:cs="Times New Roman"/>
      <w:kern w:val="2"/>
      <w:sz w:val="21"/>
      <w:lang w:val="en-US" w:eastAsia="zh-CN" w:bidi="ar-SA"/>
    </w:rPr>
  </w:style>
  <w:style w:type="paragraph" w:customStyle="1" w:styleId="49">
    <w:name w:val="_Style 3"/>
    <w:basedOn w:val="1"/>
    <w:qFormat/>
    <w:uiPriority w:val="34"/>
    <w:pPr>
      <w:ind w:firstLine="420" w:firstLineChars="200"/>
    </w:pPr>
  </w:style>
  <w:style w:type="paragraph" w:customStyle="1" w:styleId="50">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51">
    <w:name w:val="_Style 2"/>
    <w:basedOn w:val="1"/>
    <w:qFormat/>
    <w:uiPriority w:val="34"/>
    <w:pPr>
      <w:ind w:firstLine="420" w:firstLineChars="200"/>
    </w:pPr>
    <w:rPr>
      <w:rFonts w:ascii="Calibri"/>
    </w:rPr>
  </w:style>
  <w:style w:type="paragraph" w:customStyle="1" w:styleId="52">
    <w:name w:val="标准文本"/>
    <w:basedOn w:val="1"/>
    <w:qFormat/>
    <w:uiPriority w:val="0"/>
    <w:pPr>
      <w:spacing w:line="360" w:lineRule="auto"/>
      <w:ind w:firstLine="480" w:firstLineChars="200"/>
    </w:pPr>
    <w:rPr>
      <w:rFonts w:ascii="Times New Roman" w:cs="宋体"/>
      <w:sz w:val="24"/>
    </w:rPr>
  </w:style>
  <w:style w:type="paragraph" w:customStyle="1" w:styleId="53">
    <w:name w:val="正文缩进3"/>
    <w:basedOn w:val="1"/>
    <w:qFormat/>
    <w:uiPriority w:val="0"/>
    <w:pPr>
      <w:autoSpaceDE w:val="0"/>
      <w:autoSpaceDN w:val="0"/>
      <w:adjustRightInd w:val="0"/>
      <w:ind w:firstLine="420"/>
    </w:pPr>
    <w:rPr>
      <w:rFonts w:ascii="Times New Roman"/>
      <w:szCs w:val="21"/>
    </w:rPr>
  </w:style>
  <w:style w:type="paragraph" w:customStyle="1" w:styleId="54">
    <w:name w:val="表格"/>
    <w:basedOn w:val="1"/>
    <w:qFormat/>
    <w:uiPriority w:val="0"/>
    <w:pPr>
      <w:spacing w:line="400" w:lineRule="exact"/>
    </w:pPr>
    <w:rPr>
      <w:rFonts w:ascii="Times New Roman"/>
      <w:sz w:val="24"/>
    </w:rPr>
  </w:style>
  <w:style w:type="paragraph" w:styleId="55">
    <w:name w:val="List Paragraph"/>
    <w:basedOn w:val="1"/>
    <w:qFormat/>
    <w:uiPriority w:val="0"/>
    <w:pPr>
      <w:ind w:firstLine="420" w:firstLineChars="200"/>
    </w:pPr>
    <w:rPr>
      <w:rFonts w:ascii="Times New Roman"/>
      <w:sz w:val="18"/>
      <w:szCs w:val="18"/>
    </w:rPr>
  </w:style>
  <w:style w:type="paragraph" w:customStyle="1" w:styleId="56">
    <w:name w:val="Char1 Char Char Char"/>
    <w:basedOn w:val="1"/>
    <w:qFormat/>
    <w:uiPriority w:val="0"/>
    <w:rPr>
      <w:rFonts w:ascii="Times New Roman" w:eastAsia="仿宋_GB2312"/>
      <w:sz w:val="28"/>
    </w:rPr>
  </w:style>
  <w:style w:type="paragraph" w:customStyle="1" w:styleId="57">
    <w:name w:val="正文首行缩进两字符"/>
    <w:basedOn w:val="1"/>
    <w:qFormat/>
    <w:uiPriority w:val="0"/>
    <w:pPr>
      <w:spacing w:line="360" w:lineRule="auto"/>
      <w:ind w:firstLine="200" w:firstLineChars="200"/>
    </w:pPr>
    <w:rPr>
      <w:rFonts w:ascii="Times New Roman"/>
    </w:rPr>
  </w:style>
  <w:style w:type="paragraph" w:customStyle="1" w:styleId="58">
    <w:name w:val="Body Text 22"/>
    <w:basedOn w:val="1"/>
    <w:qFormat/>
    <w:uiPriority w:val="0"/>
    <w:pPr>
      <w:adjustRightInd w:val="0"/>
      <w:spacing w:line="300" w:lineRule="auto"/>
      <w:jc w:val="center"/>
      <w:textAlignment w:val="baseline"/>
    </w:pPr>
    <w:rPr>
      <w:rFonts w:hAnsi="宋体"/>
      <w:sz w:val="24"/>
    </w:rPr>
  </w:style>
  <w:style w:type="paragraph" w:customStyle="1" w:styleId="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0">
    <w:name w:val="列出段落1"/>
    <w:basedOn w:val="1"/>
    <w:qFormat/>
    <w:uiPriority w:val="0"/>
    <w:pPr>
      <w:ind w:firstLine="420" w:firstLineChars="200"/>
    </w:pPr>
    <w:rPr>
      <w:rFonts w:ascii="Times New Roman"/>
    </w:rPr>
  </w:style>
  <w:style w:type="paragraph" w:customStyle="1" w:styleId="61">
    <w:name w:val="p0"/>
    <w:basedOn w:val="1"/>
    <w:qFormat/>
    <w:uiPriority w:val="0"/>
    <w:pPr>
      <w:widowControl/>
    </w:pPr>
    <w:rPr>
      <w:rFonts w:ascii="Times New Roman"/>
      <w:szCs w:val="21"/>
    </w:rPr>
  </w:style>
  <w:style w:type="paragraph" w:customStyle="1" w:styleId="62">
    <w:name w:val="左对齐的表内文字1"/>
    <w:basedOn w:val="1"/>
    <w:qFormat/>
    <w:uiPriority w:val="0"/>
    <w:rPr>
      <w:rFonts w:ascii="Times New Roman"/>
    </w:rPr>
  </w:style>
  <w:style w:type="paragraph" w:customStyle="1" w:styleId="63">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4">
    <w:name w:val="List Paragraph1"/>
    <w:basedOn w:val="1"/>
    <w:qFormat/>
    <w:uiPriority w:val="99"/>
    <w:pPr>
      <w:ind w:firstLine="420" w:firstLineChars="200"/>
    </w:pPr>
    <w:rPr>
      <w:rFonts w:ascii="Times New Roman"/>
      <w:szCs w:val="34"/>
    </w:rPr>
  </w:style>
  <w:style w:type="paragraph" w:customStyle="1" w:styleId="65">
    <w:name w:val="0"/>
    <w:qFormat/>
    <w:uiPriority w:val="0"/>
    <w:pPr>
      <w:snapToGrid w:val="0"/>
    </w:pPr>
    <w:rPr>
      <w:rFonts w:ascii="Calibri" w:hAnsi="Calibri" w:eastAsia="宋体" w:cs="Times New Roman"/>
      <w:lang w:val="en-US" w:eastAsia="zh-CN" w:bidi="ar-SA"/>
    </w:rPr>
  </w:style>
  <w:style w:type="paragraph" w:customStyle="1" w:styleId="66">
    <w:name w:val="pa-8"/>
    <w:basedOn w:val="1"/>
    <w:qFormat/>
    <w:uiPriority w:val="0"/>
    <w:pPr>
      <w:widowControl/>
      <w:spacing w:before="150" w:after="150"/>
      <w:jc w:val="left"/>
    </w:pPr>
    <w:rPr>
      <w:rFonts w:hAnsi="宋体" w:cs="宋体"/>
      <w:sz w:val="24"/>
      <w:szCs w:val="24"/>
    </w:rPr>
  </w:style>
  <w:style w:type="paragraph" w:customStyle="1" w:styleId="67">
    <w:name w:val="+正文"/>
    <w:basedOn w:val="1"/>
    <w:qFormat/>
    <w:uiPriority w:val="0"/>
    <w:pPr>
      <w:spacing w:line="360" w:lineRule="auto"/>
      <w:ind w:firstLine="200" w:firstLineChars="200"/>
    </w:pPr>
    <w:rPr>
      <w:rFonts w:ascii="Times New Roman" w:eastAsia="楷体_GB2312"/>
      <w:szCs w:val="28"/>
    </w:rPr>
  </w:style>
  <w:style w:type="paragraph" w:styleId="68">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69">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70">
    <w:name w:val="样式 首行缩进:  2 字符"/>
    <w:basedOn w:val="1"/>
    <w:qFormat/>
    <w:uiPriority w:val="0"/>
    <w:pPr>
      <w:spacing w:line="400" w:lineRule="exact"/>
      <w:ind w:firstLine="200" w:firstLineChars="200"/>
    </w:pPr>
    <w:rPr>
      <w:rFonts w:ascii="Times New Roman" w:cs="宋体"/>
      <w:sz w:val="24"/>
    </w:rPr>
  </w:style>
  <w:style w:type="paragraph" w:customStyle="1" w:styleId="71">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7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73">
    <w:name w:val="首行缩进"/>
    <w:basedOn w:val="1"/>
    <w:qFormat/>
    <w:uiPriority w:val="99"/>
    <w:pPr>
      <w:spacing w:line="360" w:lineRule="auto"/>
      <w:ind w:firstLine="480" w:firstLineChars="200"/>
      <w:jc w:val="left"/>
    </w:pPr>
    <w:rPr>
      <w:rFonts w:ascii="宋体" w:hAnsi="宋体"/>
      <w:sz w:val="24"/>
    </w:rPr>
  </w:style>
  <w:style w:type="paragraph" w:customStyle="1" w:styleId="74">
    <w:name w:val="正文 A"/>
    <w:next w:val="75"/>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val="none" w:color="000000"/>
      <w:lang w:val="en-US" w:eastAsia="zh-CN" w:bidi="ar-SA"/>
    </w:rPr>
  </w:style>
  <w:style w:type="paragraph" w:customStyle="1" w:styleId="75">
    <w:name w:val="正文文本1"/>
    <w:qFormat/>
    <w:uiPriority w:val="0"/>
    <w:pPr>
      <w:framePr w:wrap="around" w:vAnchor="margin" w:hAnchor="text" w:y="1"/>
      <w:widowControl w:val="0"/>
      <w:spacing w:after="120"/>
      <w:jc w:val="both"/>
    </w:pPr>
    <w:rPr>
      <w:rFonts w:hint="eastAsia" w:ascii="Arial Unicode MS" w:hAnsi="Arial Unicode MS" w:eastAsia="Times New Roman"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23</Pages>
  <Words>8559</Words>
  <Characters>8962</Characters>
  <Lines>139</Lines>
  <Paragraphs>39</Paragraphs>
  <TotalTime>65</TotalTime>
  <ScaleCrop>false</ScaleCrop>
  <LinksUpToDate>false</LinksUpToDate>
  <CharactersWithSpaces>9241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2020-10-29T09:17:00Z</dcterms:created>
  <dc:creator>微软用户</dc:creator>
  <cp:lastModifiedBy>Administrator</cp:lastModifiedBy>
  <cp:lastPrinted>2015-08-20T10:29:00Z</cp:lastPrinted>
  <dcterms:modified xsi:type="dcterms:W3CDTF">2022-10-08T01:16:38Z</dcterms:modified>
  <dc:title>招标编号：SCSZ-2013-02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E7558D7948BD46B49D504D1EAC59F27E</vt:lpwstr>
  </property>
</Properties>
</file>