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jc w:val="center"/>
        <w:rPr>
          <w:rFonts w:hAnsi="宋体"/>
          <w:color w:val="000000"/>
          <w:sz w:val="36"/>
          <w:szCs w:val="36"/>
        </w:rPr>
      </w:pPr>
      <w:r>
        <w:rPr>
          <w:rFonts w:hint="eastAsia" w:hAnsi="宋体"/>
          <w:color w:val="000000"/>
          <w:sz w:val="36"/>
          <w:szCs w:val="36"/>
        </w:rPr>
        <w:t>2022年综合日志审计系统建设项目</w:t>
      </w:r>
    </w:p>
    <w:p>
      <w:pPr>
        <w:snapToGrid w:val="0"/>
        <w:spacing w:line="360" w:lineRule="auto"/>
        <w:ind w:firstLine="360" w:firstLineChars="100"/>
        <w:jc w:val="center"/>
        <w:rPr>
          <w:rFonts w:hAnsi="宋体" w:cs="宋体"/>
          <w:bCs/>
          <w:sz w:val="36"/>
          <w:szCs w:val="36"/>
        </w:rPr>
      </w:pP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采购编号：TZY-</w:t>
      </w:r>
      <w:r>
        <w:rPr>
          <w:rFonts w:hint="eastAsia" w:hAnsi="宋体" w:cs="宋体"/>
          <w:bCs/>
          <w:sz w:val="30"/>
          <w:szCs w:val="30"/>
          <w:lang w:val="en-US" w:eastAsia="zh-CN"/>
        </w:rPr>
        <w:t>ZB-2022010-1</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2022</w:t>
      </w:r>
      <w:r>
        <w:rPr>
          <w:rFonts w:hint="eastAsia" w:hAnsi="宋体" w:cs="宋体"/>
          <w:bCs/>
          <w:sz w:val="30"/>
          <w:szCs w:val="30"/>
          <w:lang w:val="zh-CN"/>
        </w:rPr>
        <w:t>年</w:t>
      </w:r>
      <w:r>
        <w:rPr>
          <w:rFonts w:hint="eastAsia" w:hAnsi="宋体" w:cs="宋体"/>
          <w:bCs/>
          <w:sz w:val="30"/>
          <w:szCs w:val="30"/>
          <w:lang w:val="en-US" w:eastAsia="zh-CN"/>
        </w:rPr>
        <w:t>05</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7"/>
          <w:rFonts w:ascii="宋体" w:hAnsi="宋体" w:cs="宋体"/>
          <w:color w:val="auto"/>
          <w:kern w:val="2"/>
          <w:sz w:val="44"/>
          <w:szCs w:val="44"/>
          <w:u w:val="none"/>
        </w:rPr>
      </w:pPr>
      <w:r>
        <w:rPr>
          <w:rStyle w:val="27"/>
          <w:rFonts w:hint="eastAsia" w:ascii="宋体" w:hAnsi="宋体" w:cs="宋体"/>
          <w:color w:val="auto"/>
          <w:kern w:val="2"/>
          <w:sz w:val="44"/>
          <w:szCs w:val="44"/>
          <w:u w:val="none"/>
        </w:rPr>
        <w:t>目    录</w:t>
      </w:r>
    </w:p>
    <w:p/>
    <w:p>
      <w:pPr>
        <w:pStyle w:val="16"/>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2</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8</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4</w:t>
      </w:r>
    </w:p>
    <w:p>
      <w:pPr>
        <w:pStyle w:val="16"/>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20"/>
      <w:bookmarkStart w:id="3" w:name="_Hlt360036319"/>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19</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2</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lang w:val="en-US" w:eastAsia="zh-CN"/>
        </w:rPr>
        <w:t>2022年</w:t>
      </w:r>
      <w:r>
        <w:rPr>
          <w:rFonts w:hint="eastAsia" w:hAnsi="宋体" w:cs="宋体"/>
          <w:bCs/>
          <w:sz w:val="24"/>
          <w:szCs w:val="24"/>
          <w:u w:val="single"/>
        </w:rPr>
        <w:t xml:space="preserve">综合日志审计系统 </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10"/>
        <w:numPr>
          <w:ilvl w:val="0"/>
          <w:numId w:val="2"/>
        </w:numPr>
        <w:snapToGrid w:val="0"/>
        <w:spacing w:line="360" w:lineRule="auto"/>
        <w:ind w:firstLine="441" w:firstLineChars="183"/>
        <w:rPr>
          <w:rFonts w:ascii="宋体" w:hAnsi="宋体" w:cs="宋体"/>
          <w:b/>
          <w:sz w:val="24"/>
          <w:szCs w:val="24"/>
          <w:u w:val="single"/>
        </w:rPr>
      </w:pPr>
      <w:r>
        <w:rPr>
          <w:rFonts w:hint="eastAsia" w:ascii="宋体" w:hAnsi="宋体" w:cs="宋体"/>
          <w:b/>
          <w:sz w:val="24"/>
          <w:szCs w:val="24"/>
        </w:rPr>
        <w:t>招标编号：</w:t>
      </w:r>
      <w:r>
        <w:rPr>
          <w:rFonts w:hint="eastAsia" w:hAnsi="宋体" w:cs="宋体"/>
          <w:bCs/>
          <w:sz w:val="24"/>
          <w:szCs w:val="24"/>
          <w:u w:val="single"/>
        </w:rPr>
        <w:t>TZY--</w:t>
      </w:r>
      <w:r>
        <w:rPr>
          <w:rFonts w:hint="eastAsia" w:hAnsi="宋体" w:cs="宋体"/>
          <w:bCs/>
          <w:sz w:val="24"/>
          <w:szCs w:val="24"/>
          <w:u w:val="single"/>
          <w:lang w:val="en-US" w:eastAsia="zh-CN"/>
        </w:rPr>
        <w:t>ZB--2022010-1</w:t>
      </w:r>
    </w:p>
    <w:p>
      <w:pPr>
        <w:pStyle w:val="10"/>
        <w:numPr>
          <w:ilvl w:val="0"/>
          <w:numId w:val="2"/>
        </w:numPr>
        <w:snapToGrid w:val="0"/>
        <w:spacing w:line="360" w:lineRule="auto"/>
        <w:ind w:firstLine="441" w:firstLineChars="183"/>
        <w:rPr>
          <w:rFonts w:ascii="宋体" w:hAnsi="宋体" w:cs="宋体"/>
          <w:bCs/>
          <w:sz w:val="24"/>
          <w:szCs w:val="24"/>
          <w:lang w:val="zh-CN"/>
        </w:rPr>
      </w:pPr>
      <w:r>
        <w:rPr>
          <w:rFonts w:hint="eastAsia" w:ascii="宋体" w:hAnsi="宋体" w:cs="宋体"/>
          <w:b/>
          <w:sz w:val="24"/>
          <w:szCs w:val="24"/>
        </w:rPr>
        <w:t>招标项目：综合日志审计系统</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sz w:val="24"/>
          <w:szCs w:val="22"/>
        </w:rPr>
        <w:t>7.本项目不接受联合体参与招标。</w:t>
      </w: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w:t>
      </w:r>
      <w:r>
        <w:rPr>
          <w:rFonts w:hint="eastAsia" w:hAnsi="宋体" w:cs="宋体"/>
          <w:b/>
          <w:sz w:val="24"/>
          <w:szCs w:val="24"/>
          <w:lang w:val="en-US" w:eastAsia="zh-CN"/>
        </w:rPr>
        <w:t>2022</w:t>
      </w:r>
      <w:r>
        <w:rPr>
          <w:rFonts w:hint="eastAsia" w:hAnsi="宋体" w:cs="宋体"/>
          <w:b/>
          <w:sz w:val="24"/>
          <w:szCs w:val="24"/>
        </w:rPr>
        <w:t xml:space="preserve"> </w:t>
      </w:r>
      <w:r>
        <w:rPr>
          <w:rFonts w:hint="eastAsia" w:hAnsi="宋体" w:cs="宋体"/>
          <w:bCs/>
          <w:sz w:val="24"/>
          <w:szCs w:val="24"/>
        </w:rPr>
        <w:t xml:space="preserve">年 </w:t>
      </w:r>
      <w:r>
        <w:rPr>
          <w:rFonts w:hint="eastAsia" w:hAnsi="宋体" w:cs="宋体"/>
          <w:bCs/>
          <w:sz w:val="24"/>
          <w:szCs w:val="24"/>
          <w:lang w:val="en-US" w:eastAsia="zh-CN"/>
        </w:rPr>
        <w:t>06</w:t>
      </w:r>
      <w:r>
        <w:rPr>
          <w:rFonts w:hint="eastAsia" w:hAnsi="宋体" w:cs="宋体"/>
          <w:bCs/>
          <w:sz w:val="24"/>
          <w:szCs w:val="24"/>
        </w:rPr>
        <w:t>月</w:t>
      </w:r>
      <w:r>
        <w:rPr>
          <w:rFonts w:hint="eastAsia" w:hAnsi="宋体" w:cs="宋体"/>
          <w:bCs/>
          <w:sz w:val="24"/>
          <w:szCs w:val="24"/>
          <w:lang w:val="en-US" w:eastAsia="zh-CN"/>
        </w:rPr>
        <w:t>02</w:t>
      </w:r>
      <w:r>
        <w:rPr>
          <w:rFonts w:hint="eastAsia" w:hAnsi="宋体" w:cs="宋体"/>
          <w:bCs/>
          <w:sz w:val="24"/>
          <w:szCs w:val="24"/>
        </w:rPr>
        <w:t xml:space="preserve">日 </w:t>
      </w:r>
      <w:r>
        <w:rPr>
          <w:rFonts w:hint="eastAsia" w:hAnsi="宋体" w:cs="宋体"/>
          <w:bCs/>
          <w:sz w:val="24"/>
          <w:szCs w:val="24"/>
          <w:lang w:val="en-US" w:eastAsia="zh-CN"/>
        </w:rPr>
        <w:t>10:00</w:t>
      </w:r>
      <w:r>
        <w:rPr>
          <w:rFonts w:hint="eastAsia" w:hAnsi="宋体" w:cs="宋体"/>
          <w:sz w:val="24"/>
          <w:szCs w:val="24"/>
        </w:rPr>
        <w:t>（北京时间）。</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四川成都郫县安德镇彭温路399号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10"/>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四川成都郫县安德镇彭温路399号后勤基建处2F开标室</w:t>
      </w:r>
    </w:p>
    <w:p>
      <w:pPr>
        <w:pStyle w:val="57"/>
        <w:snapToGrid w:val="0"/>
        <w:ind w:firstLine="479" w:firstLineChars="199"/>
        <w:rPr>
          <w:rFonts w:hAnsi="宋体" w:cs="宋体"/>
          <w:b/>
          <w:sz w:val="24"/>
          <w:szCs w:val="24"/>
        </w:rPr>
      </w:pPr>
      <w:r>
        <w:rPr>
          <w:rFonts w:hint="eastAsia" w:hAnsi="宋体" w:cs="宋体"/>
          <w:b/>
          <w:sz w:val="24"/>
          <w:szCs w:val="24"/>
        </w:rPr>
        <w:t>八、联系方式</w:t>
      </w:r>
    </w:p>
    <w:p>
      <w:pPr>
        <w:pStyle w:val="57"/>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7"/>
        <w:snapToGrid w:val="0"/>
        <w:ind w:firstLine="919" w:firstLineChars="383"/>
        <w:rPr>
          <w:rFonts w:hAnsi="宋体" w:cs="宋体"/>
          <w:sz w:val="24"/>
          <w:highlight w:val="yellow"/>
        </w:rPr>
      </w:pPr>
      <w:r>
        <w:rPr>
          <w:rFonts w:hint="eastAsia" w:hAnsi="宋体" w:cs="宋体"/>
          <w:bCs/>
          <w:sz w:val="24"/>
        </w:rPr>
        <w:t xml:space="preserve">地址： </w:t>
      </w:r>
      <w:r>
        <w:rPr>
          <w:rFonts w:hint="eastAsia" w:hAnsi="宋体" w:cs="宋体"/>
          <w:sz w:val="24"/>
        </w:rPr>
        <w:t>四川成都郫县安德镇彭温路399号</w:t>
      </w:r>
    </w:p>
    <w:p>
      <w:pPr>
        <w:pStyle w:val="57"/>
        <w:snapToGrid w:val="0"/>
        <w:ind w:firstLine="919" w:firstLineChars="383"/>
        <w:rPr>
          <w:rFonts w:hAnsi="宋体" w:cs="宋体"/>
          <w:sz w:val="24"/>
        </w:rPr>
      </w:pPr>
      <w:r>
        <w:rPr>
          <w:rFonts w:hint="eastAsia" w:hAnsi="宋体" w:cs="宋体"/>
          <w:sz w:val="24"/>
        </w:rPr>
        <w:t xml:space="preserve">联系人：贺老师 </w:t>
      </w:r>
      <w:r>
        <w:rPr>
          <w:rFonts w:hint="eastAsia" w:hAnsi="宋体" w:cs="宋体"/>
          <w:sz w:val="24"/>
          <w:lang w:eastAsia="zh-CN"/>
        </w:rPr>
        <w:t>、童老师</w:t>
      </w:r>
      <w:r>
        <w:rPr>
          <w:rFonts w:hint="eastAsia" w:hAnsi="宋体" w:cs="宋体"/>
          <w:sz w:val="24"/>
        </w:rPr>
        <w:t xml:space="preserve">  </w:t>
      </w:r>
    </w:p>
    <w:p>
      <w:pPr>
        <w:pStyle w:val="57"/>
        <w:snapToGrid w:val="0"/>
        <w:ind w:firstLine="919" w:firstLineChars="383"/>
        <w:rPr>
          <w:rFonts w:hint="default" w:hAnsi="宋体" w:eastAsia="宋体" w:cs="宋体"/>
          <w:sz w:val="24"/>
          <w:lang w:val="en-US" w:eastAsia="zh-CN"/>
        </w:rPr>
      </w:pPr>
      <w:r>
        <w:rPr>
          <w:rFonts w:hint="eastAsia" w:hAnsi="宋体" w:cs="宋体"/>
          <w:sz w:val="24"/>
        </w:rPr>
        <w:t xml:space="preserve">联系电话：028-68939969 </w:t>
      </w:r>
      <w:r>
        <w:rPr>
          <w:rFonts w:hint="eastAsia" w:hAnsi="宋体" w:cs="宋体"/>
          <w:sz w:val="24"/>
          <w:lang w:eastAsia="zh-CN"/>
        </w:rPr>
        <w:t>、</w:t>
      </w:r>
      <w:r>
        <w:rPr>
          <w:rFonts w:hint="eastAsia" w:hAnsi="宋体" w:cs="宋体"/>
          <w:sz w:val="24"/>
        </w:rPr>
        <w:t xml:space="preserve"> </w:t>
      </w:r>
      <w:r>
        <w:rPr>
          <w:rFonts w:hint="eastAsia" w:hAnsi="宋体" w:cs="宋体"/>
          <w:sz w:val="24"/>
          <w:lang w:val="en-US" w:eastAsia="zh-CN"/>
        </w:rPr>
        <w:t>68939922</w:t>
      </w:r>
    </w:p>
    <w:p>
      <w:pPr>
        <w:pStyle w:val="57"/>
        <w:snapToGrid w:val="0"/>
        <w:ind w:firstLine="919" w:firstLineChars="383"/>
        <w:rPr>
          <w:rFonts w:hAnsi="宋体"/>
          <w:sz w:val="24"/>
          <w:szCs w:val="28"/>
        </w:rPr>
      </w:pPr>
      <w:r>
        <w:rPr>
          <w:rFonts w:hint="eastAsia" w:hAnsi="宋体" w:cs="宋体"/>
          <w:sz w:val="24"/>
        </w:rPr>
        <w:t xml:space="preserve">                   </w:t>
      </w:r>
      <w:r>
        <w:rPr>
          <w:rFonts w:hint="eastAsia" w:hAnsi="宋体" w:cs="宋体"/>
          <w:sz w:val="24"/>
        </w:rPr>
        <w:tab/>
      </w:r>
    </w:p>
    <w:p>
      <w:pPr>
        <w:pStyle w:val="20"/>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4"/>
        <w:snapToGrid w:val="0"/>
        <w:spacing w:before="0" w:after="0" w:line="360" w:lineRule="auto"/>
        <w:jc w:val="center"/>
        <w:rPr>
          <w:rFonts w:hAnsi="宋体" w:cs="宋体"/>
          <w:sz w:val="30"/>
          <w:szCs w:val="30"/>
        </w:rPr>
      </w:pPr>
      <w:bookmarkStart w:id="5" w:name="_Toc213396945"/>
      <w:bookmarkStart w:id="6" w:name="_Toc217446031"/>
      <w:bookmarkStart w:id="7" w:name="_Toc358883242"/>
      <w:bookmarkStart w:id="8" w:name="_Toc213397009"/>
      <w:bookmarkStart w:id="9" w:name="_Toc213496267"/>
      <w:bookmarkStart w:id="10" w:name="_Toc213396759"/>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213397010"/>
      <w:bookmarkStart w:id="12" w:name="_Toc213496268"/>
      <w:bookmarkStart w:id="13" w:name="_Toc213396946"/>
      <w:bookmarkStart w:id="14" w:name="_Toc189727030"/>
      <w:bookmarkStart w:id="15" w:name="_Toc217446032"/>
      <w:bookmarkStart w:id="16" w:name="_Toc21339676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9"/>
              <w:snapToGrid w:val="0"/>
              <w:spacing w:line="360" w:lineRule="auto"/>
              <w:jc w:val="center"/>
              <w:rPr>
                <w:lang w:val="zh-CN"/>
              </w:rPr>
            </w:pPr>
            <w:r>
              <w:rPr>
                <w:rFonts w:hint="eastAsia"/>
                <w:lang w:val="zh-CN"/>
              </w:rPr>
              <w:t xml:space="preserve">序号 </w:t>
            </w:r>
          </w:p>
        </w:tc>
        <w:tc>
          <w:tcPr>
            <w:tcW w:w="1916" w:type="dxa"/>
            <w:vAlign w:val="center"/>
          </w:tcPr>
          <w:p>
            <w:pPr>
              <w:pStyle w:val="59"/>
              <w:snapToGrid w:val="0"/>
              <w:spacing w:line="360" w:lineRule="auto"/>
              <w:jc w:val="center"/>
              <w:rPr>
                <w:lang w:val="zh-CN"/>
              </w:rPr>
            </w:pPr>
            <w:r>
              <w:rPr>
                <w:rFonts w:hint="eastAsia"/>
                <w:lang w:val="zh-CN"/>
              </w:rPr>
              <w:t xml:space="preserve">应知事项 </w:t>
            </w:r>
          </w:p>
        </w:tc>
        <w:tc>
          <w:tcPr>
            <w:tcW w:w="6819" w:type="dxa"/>
            <w:vAlign w:val="center"/>
          </w:tcPr>
          <w:p>
            <w:pPr>
              <w:pStyle w:val="59"/>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59"/>
              <w:snapToGrid w:val="0"/>
              <w:spacing w:line="360" w:lineRule="auto"/>
              <w:jc w:val="center"/>
            </w:pPr>
            <w:r>
              <w:rPr>
                <w:rFonts w:hint="eastAsia"/>
              </w:rPr>
              <w:t>1</w:t>
            </w:r>
          </w:p>
        </w:tc>
        <w:tc>
          <w:tcPr>
            <w:tcW w:w="1916" w:type="dxa"/>
            <w:vAlign w:val="center"/>
          </w:tcPr>
          <w:p>
            <w:pPr>
              <w:pStyle w:val="59"/>
              <w:snapToGrid w:val="0"/>
              <w:spacing w:line="360" w:lineRule="auto"/>
              <w:jc w:val="center"/>
              <w:rPr>
                <w:lang w:val="zh-CN"/>
              </w:rPr>
            </w:pPr>
            <w:r>
              <w:rPr>
                <w:rFonts w:hint="eastAsia"/>
                <w:lang w:val="zh-CN"/>
              </w:rPr>
              <w:t>采购人</w:t>
            </w:r>
          </w:p>
        </w:tc>
        <w:tc>
          <w:tcPr>
            <w:tcW w:w="6819" w:type="dxa"/>
            <w:vAlign w:val="center"/>
          </w:tcPr>
          <w:p>
            <w:pPr>
              <w:pStyle w:val="57"/>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9"/>
              <w:snapToGrid w:val="0"/>
              <w:spacing w:line="360" w:lineRule="auto"/>
              <w:ind w:firstLine="240" w:firstLineChars="100"/>
              <w:rPr>
                <w:lang w:val="zh-CN"/>
              </w:rPr>
            </w:pPr>
            <w:r>
              <w:rPr>
                <w:rFonts w:hint="eastAsia"/>
                <w:lang w:val="zh-CN"/>
              </w:rPr>
              <w:t>地址：</w:t>
            </w:r>
            <w:r>
              <w:rPr>
                <w:rFonts w:hint="eastAsia"/>
              </w:rPr>
              <w:t>四川成都郫县安德镇彭温路399号</w:t>
            </w:r>
          </w:p>
          <w:p>
            <w:pPr>
              <w:pStyle w:val="59"/>
              <w:snapToGrid w:val="0"/>
              <w:spacing w:line="360" w:lineRule="auto"/>
              <w:ind w:firstLine="240" w:firstLineChars="100"/>
              <w:rPr>
                <w:lang w:val="zh-CN"/>
              </w:rPr>
            </w:pPr>
            <w:r>
              <w:rPr>
                <w:rFonts w:hint="eastAsia"/>
                <w:lang w:val="zh-CN"/>
              </w:rPr>
              <w:t>联 系 人：贺老师 童老师</w:t>
            </w:r>
          </w:p>
          <w:p>
            <w:pPr>
              <w:pStyle w:val="59"/>
              <w:snapToGrid w:val="0"/>
              <w:spacing w:line="360" w:lineRule="auto"/>
              <w:ind w:firstLine="240" w:firstLineChars="100"/>
            </w:pPr>
            <w:r>
              <w:rPr>
                <w:rFonts w:hint="eastAsia"/>
                <w:lang w:val="zh-CN"/>
              </w:rPr>
              <w:t>联系电话：</w:t>
            </w:r>
            <w:r>
              <w:rPr>
                <w:rFonts w:hint="eastAsia"/>
              </w:rPr>
              <w:t>028-68939969</w:t>
            </w:r>
            <w:r>
              <w:t xml:space="preserve"> </w:t>
            </w:r>
            <w:r>
              <w:rPr>
                <w:rFonts w:hint="eastAsia"/>
                <w:lang w:eastAsia="zh-CN"/>
              </w:rPr>
              <w:t>、</w:t>
            </w:r>
            <w:r>
              <w:rPr>
                <w:rFonts w:hint="eastAsia"/>
              </w:rPr>
              <w:t>68939922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2</w:t>
            </w:r>
          </w:p>
        </w:tc>
        <w:tc>
          <w:tcPr>
            <w:tcW w:w="1916" w:type="dxa"/>
            <w:vAlign w:val="center"/>
          </w:tcPr>
          <w:p>
            <w:pPr>
              <w:pStyle w:val="59"/>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9"/>
              <w:snapToGrid w:val="0"/>
              <w:spacing w:line="360" w:lineRule="auto"/>
              <w:ind w:firstLine="240" w:firstLineChars="100"/>
              <w:rPr>
                <w:lang w:val="zh-CN"/>
              </w:rPr>
            </w:pPr>
            <w:r>
              <w:rPr>
                <w:rFonts w:hint="eastAsia"/>
                <w:lang w:val="zh-CN"/>
              </w:rPr>
              <w:t>综合日志审计系统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9"/>
              <w:snapToGrid w:val="0"/>
              <w:spacing w:line="360" w:lineRule="auto"/>
              <w:jc w:val="center"/>
            </w:pPr>
            <w:r>
              <w:rPr>
                <w:rFonts w:hint="eastAsia"/>
              </w:rPr>
              <w:t>3</w:t>
            </w:r>
          </w:p>
        </w:tc>
        <w:tc>
          <w:tcPr>
            <w:tcW w:w="1916" w:type="dxa"/>
            <w:vAlign w:val="center"/>
          </w:tcPr>
          <w:p>
            <w:pPr>
              <w:pStyle w:val="59"/>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9"/>
              <w:snapToGrid w:val="0"/>
              <w:spacing w:line="360" w:lineRule="auto"/>
              <w:rPr>
                <w:rFonts w:hint="default" w:eastAsia="宋体"/>
                <w:lang w:val="en-US" w:eastAsia="zh-CN"/>
              </w:rPr>
            </w:pPr>
            <w:r>
              <w:rPr>
                <w:rFonts w:hint="eastAsia"/>
                <w:lang w:val="en-US" w:eastAsia="zh-CN"/>
              </w:rPr>
              <w:t>TZY-ZB-2022010-1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4</w:t>
            </w:r>
          </w:p>
        </w:tc>
        <w:tc>
          <w:tcPr>
            <w:tcW w:w="1916" w:type="dxa"/>
            <w:vAlign w:val="center"/>
          </w:tcPr>
          <w:p>
            <w:pPr>
              <w:pStyle w:val="59"/>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9"/>
              <w:snapToGrid w:val="0"/>
              <w:spacing w:line="360" w:lineRule="auto"/>
              <w:ind w:firstLine="240" w:firstLineChars="100"/>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5</w:t>
            </w:r>
          </w:p>
        </w:tc>
        <w:tc>
          <w:tcPr>
            <w:tcW w:w="1916" w:type="dxa"/>
            <w:vAlign w:val="center"/>
          </w:tcPr>
          <w:p>
            <w:pPr>
              <w:pStyle w:val="59"/>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9"/>
              <w:snapToGrid w:val="0"/>
              <w:spacing w:line="360" w:lineRule="auto"/>
              <w:ind w:firstLine="240" w:firstLineChars="100"/>
            </w:pPr>
            <w:r>
              <w:rPr>
                <w:rFonts w:hint="eastAsia"/>
              </w:rPr>
              <w:t>14万元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9"/>
              <w:snapToGrid w:val="0"/>
              <w:spacing w:line="360" w:lineRule="auto"/>
              <w:jc w:val="center"/>
            </w:pPr>
            <w:r>
              <w:rPr>
                <w:rFonts w:hint="eastAsia"/>
              </w:rPr>
              <w:t>6</w:t>
            </w:r>
          </w:p>
        </w:tc>
        <w:tc>
          <w:tcPr>
            <w:tcW w:w="1916" w:type="dxa"/>
            <w:vAlign w:val="center"/>
          </w:tcPr>
          <w:p>
            <w:pPr>
              <w:pStyle w:val="59"/>
              <w:snapToGrid w:val="0"/>
              <w:spacing w:line="360" w:lineRule="auto"/>
              <w:jc w:val="center"/>
              <w:rPr>
                <w:lang w:val="zh-CN"/>
              </w:rPr>
            </w:pPr>
            <w:r>
              <w:rPr>
                <w:rFonts w:hint="eastAsia"/>
                <w:lang w:val="zh-CN"/>
              </w:rPr>
              <w:t>构成招标文件的其他文件</w:t>
            </w:r>
          </w:p>
        </w:tc>
        <w:tc>
          <w:tcPr>
            <w:tcW w:w="6819" w:type="dxa"/>
            <w:vAlign w:val="center"/>
          </w:tcPr>
          <w:p>
            <w:pPr>
              <w:pStyle w:val="59"/>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7</w:t>
            </w:r>
          </w:p>
        </w:tc>
        <w:tc>
          <w:tcPr>
            <w:tcW w:w="1916" w:type="dxa"/>
            <w:vAlign w:val="center"/>
          </w:tcPr>
          <w:p>
            <w:pPr>
              <w:pStyle w:val="59"/>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9"/>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8</w:t>
            </w:r>
          </w:p>
        </w:tc>
        <w:tc>
          <w:tcPr>
            <w:tcW w:w="1916" w:type="dxa"/>
            <w:vAlign w:val="center"/>
          </w:tcPr>
          <w:p>
            <w:pPr>
              <w:pStyle w:val="59"/>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9"/>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rPr>
                <w:lang w:val="zh-CN"/>
              </w:rPr>
            </w:pPr>
            <w:r>
              <w:rPr>
                <w:rFonts w:hint="eastAsia"/>
                <w:lang w:val="zh-CN"/>
              </w:rPr>
              <w:t>a.时间和地点详见 “投标邀请”;</w:t>
            </w:r>
          </w:p>
          <w:p>
            <w:pPr>
              <w:pStyle w:val="59"/>
              <w:snapToGrid w:val="0"/>
              <w:spacing w:line="360" w:lineRule="auto"/>
              <w:rPr>
                <w:lang w:val="zh-CN"/>
              </w:rPr>
            </w:pPr>
            <w:r>
              <w:rPr>
                <w:rFonts w:hint="eastAsia"/>
                <w:lang w:val="zh-CN"/>
              </w:rPr>
              <w:t>b.采购人在招标文件规定的时间和地点组织开标，投标人代表人执有效身份证参加。</w:t>
            </w:r>
          </w:p>
          <w:p>
            <w:pPr>
              <w:pStyle w:val="59"/>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rPr>
                <w:highlight w:val="yellow"/>
                <w:lang w:val="zh-CN"/>
              </w:rPr>
            </w:pPr>
            <w:r>
              <w:rPr>
                <w:rFonts w:hint="eastAsia"/>
                <w:lang w:val="zh-CN"/>
              </w:rPr>
              <w:t>时间：</w:t>
            </w:r>
            <w:r>
              <w:rPr>
                <w:rFonts w:hint="eastAsia"/>
                <w:lang w:val="en-US" w:eastAsia="zh-CN"/>
              </w:rPr>
              <w:t>2022</w:t>
            </w:r>
            <w:r>
              <w:rPr>
                <w:rFonts w:hint="eastAsia"/>
              </w:rPr>
              <w:t xml:space="preserve"> </w:t>
            </w:r>
            <w:r>
              <w:rPr>
                <w:rFonts w:hint="eastAsia"/>
                <w:lang w:val="zh-CN"/>
              </w:rPr>
              <w:t>年</w:t>
            </w:r>
            <w:r>
              <w:rPr>
                <w:rFonts w:hint="eastAsia"/>
              </w:rPr>
              <w:t xml:space="preserve"> </w:t>
            </w:r>
            <w:r>
              <w:rPr>
                <w:rFonts w:hint="eastAsia"/>
                <w:lang w:val="en-US" w:eastAsia="zh-CN"/>
              </w:rPr>
              <w:t>06</w:t>
            </w:r>
            <w:r>
              <w:rPr>
                <w:rFonts w:hint="eastAsia"/>
              </w:rPr>
              <w:t xml:space="preserve">月 </w:t>
            </w:r>
            <w:r>
              <w:rPr>
                <w:rFonts w:hint="eastAsia"/>
                <w:lang w:val="en-US" w:eastAsia="zh-CN"/>
              </w:rPr>
              <w:t>02</w:t>
            </w:r>
            <w:r>
              <w:rPr>
                <w:rFonts w:hint="eastAsia"/>
              </w:rPr>
              <w:t xml:space="preserve"> </w:t>
            </w:r>
            <w:r>
              <w:rPr>
                <w:rFonts w:hint="eastAsia"/>
                <w:lang w:val="zh-CN"/>
              </w:rPr>
              <w:t>日</w:t>
            </w:r>
            <w:r>
              <w:rPr>
                <w:rFonts w:hint="eastAsia"/>
                <w:lang w:val="en-US" w:eastAsia="zh-CN"/>
              </w:rPr>
              <w:t>10:00</w:t>
            </w:r>
            <w:r>
              <w:rPr>
                <w:rFonts w:hint="eastAsia"/>
                <w:lang w:val="zh-CN"/>
              </w:rPr>
              <w:t>（北京时间）</w:t>
            </w:r>
          </w:p>
          <w:p>
            <w:pPr>
              <w:pStyle w:val="59"/>
              <w:snapToGrid w:val="0"/>
              <w:spacing w:line="360" w:lineRule="auto"/>
              <w:ind w:firstLine="240" w:firstLineChars="100"/>
            </w:pPr>
            <w:r>
              <w:rPr>
                <w:rFonts w:hint="eastAsia"/>
                <w:lang w:val="zh-CN"/>
              </w:rPr>
              <w:t>地点：</w:t>
            </w:r>
            <w:r>
              <w:rPr>
                <w:rFonts w:hint="eastAsia"/>
              </w:rPr>
              <w:t>四川成都郫县安德镇彭温路399号后勤基建2F开标室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183582209"/>
      <w:bookmarkStart w:id="18" w:name="_Toc183682346"/>
      <w:bookmarkStart w:id="19" w:name="_Toc89075875"/>
      <w:bookmarkStart w:id="20" w:name="_Toc77400779"/>
      <w:bookmarkStart w:id="21" w:name="_Toc217446038"/>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183582210"/>
      <w:bookmarkStart w:id="23" w:name="_Toc183682347"/>
      <w:bookmarkStart w:id="24" w:name="_Toc217446039"/>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582211"/>
      <w:bookmarkStart w:id="26" w:name="_Toc183682348"/>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89075876"/>
      <w:bookmarkStart w:id="29" w:name="_Toc183682351"/>
      <w:bookmarkStart w:id="30" w:name="_Toc77400780"/>
      <w:bookmarkStart w:id="31" w:name="_Toc217446042"/>
      <w:bookmarkStart w:id="32" w:name="_Toc183582214"/>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183682352"/>
      <w:bookmarkStart w:id="34" w:name="_Toc183582215"/>
      <w:bookmarkStart w:id="35" w:name="_Toc217446043"/>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217446048"/>
      <w:bookmarkStart w:id="39" w:name="_Toc183682354"/>
      <w:bookmarkStart w:id="40" w:name="_Toc183582217"/>
      <w:bookmarkStart w:id="41" w:name="_Toc217446093"/>
      <w:bookmarkStart w:id="42" w:name="_Toc358883246"/>
      <w:r>
        <w:rPr>
          <w:rFonts w:hint="eastAsia" w:hAnsi="宋体" w:cs="宋体"/>
          <w:sz w:val="24"/>
          <w:szCs w:val="24"/>
        </w:rPr>
        <w:t>6．投标文件的组成</w:t>
      </w:r>
      <w:bookmarkEnd w:id="38"/>
      <w:bookmarkEnd w:id="39"/>
      <w:bookmarkEnd w:id="40"/>
      <w:bookmarkStart w:id="43" w:name="_Toc183682355"/>
      <w:bookmarkStart w:id="44" w:name="_Toc217446049"/>
      <w:bookmarkStart w:id="45" w:name="_Toc183582218"/>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10"/>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10"/>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217446051"/>
      <w:bookmarkStart w:id="47" w:name="_Toc183582224"/>
      <w:bookmarkStart w:id="48" w:name="_Toc18368236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183682363"/>
      <w:bookmarkStart w:id="50" w:name="_Toc89075877"/>
      <w:bookmarkStart w:id="51" w:name="_Toc77400781"/>
      <w:bookmarkStart w:id="52" w:name="_Toc183582226"/>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582227"/>
      <w:bookmarkStart w:id="55" w:name="_Toc183682364"/>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682365"/>
      <w:bookmarkStart w:id="58" w:name="_Toc183582228"/>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77400782"/>
      <w:bookmarkStart w:id="61" w:name="_Toc183682368"/>
      <w:bookmarkStart w:id="62" w:name="_Toc217446056"/>
      <w:bookmarkStart w:id="63" w:name="_Toc183582231"/>
      <w:bookmarkStart w:id="64" w:name="_Toc8907587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582232"/>
      <w:bookmarkStart w:id="66" w:name="_Toc183682369"/>
      <w:bookmarkStart w:id="67" w:name="_Toc217446057"/>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682377"/>
      <w:bookmarkStart w:id="73" w:name="_Toc183582240"/>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2"/>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在招标投标过程中，如有任何质疑，可向四川铁道职业学院纪检监察室询问，联系电话：028-68939874。</w:t>
      </w:r>
      <w:bookmarkStart w:id="84" w:name="_Toc358883243"/>
    </w:p>
    <w:p>
      <w:pPr>
        <w:pStyle w:val="12"/>
        <w:snapToGrid w:val="0"/>
        <w:spacing w:line="360" w:lineRule="auto"/>
        <w:ind w:firstLine="480" w:firstLineChars="200"/>
        <w:rPr>
          <w:rFonts w:hAnsi="宋体" w:cs="宋体"/>
          <w:sz w:val="24"/>
        </w:rPr>
      </w:pPr>
    </w:p>
    <w:p>
      <w:pPr>
        <w:pStyle w:val="12"/>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2"/>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2"/>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2"/>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50041691"/>
      <w:bookmarkStart w:id="88" w:name="_Toc263753600"/>
      <w:bookmarkStart w:id="89" w:name="_Toc297204985"/>
      <w:bookmarkStart w:id="90" w:name="_Toc237145385"/>
      <w:bookmarkStart w:id="91" w:name="_Toc263768864"/>
      <w:bookmarkStart w:id="92" w:name="_Toc256175382"/>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5"/>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rPr>
      </w:pPr>
      <w:r>
        <w:rPr>
          <w:rFonts w:hint="eastAsia" w:hAnsi="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4"/>
        <w:snapToGrid w:val="0"/>
        <w:spacing w:before="0" w:after="283" w:afterLines="60" w:line="360" w:lineRule="auto"/>
        <w:jc w:val="center"/>
        <w:rPr>
          <w:rFonts w:hAnsi="宋体"/>
          <w:sz w:val="32"/>
          <w:szCs w:val="32"/>
        </w:rPr>
      </w:pPr>
      <w:bookmarkStart w:id="97" w:name="_Hlk42504294"/>
    </w:p>
    <w:p>
      <w:pPr>
        <w:pStyle w:val="4"/>
        <w:snapToGrid w:val="0"/>
        <w:spacing w:before="0" w:after="283" w:afterLines="60" w:line="360" w:lineRule="auto"/>
        <w:jc w:val="center"/>
        <w:rPr>
          <w:rFonts w:hAnsi="宋体"/>
          <w:sz w:val="32"/>
          <w:szCs w:val="32"/>
        </w:rPr>
      </w:pPr>
      <w:r>
        <w:rPr>
          <w:rFonts w:hint="eastAsia" w:hAnsi="宋体"/>
          <w:sz w:val="32"/>
          <w:szCs w:val="32"/>
        </w:rPr>
        <w:t>第四章  招标项目技术、商务及其他要求</w:t>
      </w:r>
    </w:p>
    <w:bookmarkEnd w:id="97"/>
    <w:p>
      <w:pPr>
        <w:snapToGrid w:val="0"/>
        <w:spacing w:line="560" w:lineRule="exact"/>
        <w:textAlignment w:val="baseline"/>
        <w:rPr>
          <w:rFonts w:hAnsi="宋体"/>
          <w:b/>
          <w:sz w:val="24"/>
        </w:rPr>
      </w:pPr>
      <w:r>
        <w:rPr>
          <w:rFonts w:hint="eastAsia" w:hAnsi="宋体"/>
          <w:b/>
          <w:sz w:val="24"/>
        </w:rPr>
        <w:t>（一）项目概述</w:t>
      </w:r>
    </w:p>
    <w:p>
      <w:pPr>
        <w:spacing w:line="300" w:lineRule="auto"/>
        <w:ind w:firstLine="480"/>
        <w:rPr>
          <w:rFonts w:hAnsi="宋体"/>
          <w:sz w:val="24"/>
        </w:rPr>
      </w:pPr>
      <w:r>
        <w:rPr>
          <w:rFonts w:hint="eastAsia" w:hAnsi="宋体"/>
          <w:sz w:val="24"/>
        </w:rPr>
        <w:t>随着学校发展速度不断加快，原先的网络安全设备和系统已无法有效地保障校园各信息业务系统安全。根据《中华人民共和国网络安全法》以及学校信息系统安全等级保护等要求，为取得安全等级保护证书，降低外部恶意网络攻击陷落风险，提高校园各服务系统的安全性，本次采购项目产品为日志审计系统。采购的综合日志审计系统要求能全面收集业务系统中常见的安全设备、网络设备、数据库、服务器、应用系统、主机等设备所产生的日志（包括运行、告警、操作、消息、状态等）并进行存储、监控、审计、分析、报警、响应和报告，支持IP对象自动发现功能。项目采购中需结合学校实际情况，尽可能满足学校需求，有助学校的长远发展。</w:t>
      </w:r>
    </w:p>
    <w:p>
      <w:pPr>
        <w:snapToGrid w:val="0"/>
        <w:spacing w:line="560" w:lineRule="exact"/>
        <w:textAlignment w:val="baseline"/>
        <w:rPr>
          <w:rFonts w:hAnsi="宋体"/>
          <w:b/>
          <w:sz w:val="24"/>
        </w:rPr>
      </w:pPr>
      <w:r>
        <w:rPr>
          <w:rFonts w:hint="eastAsia" w:hAnsi="宋体"/>
          <w:b/>
          <w:sz w:val="24"/>
        </w:rPr>
        <w:t>（二）本项目采购内容包括</w:t>
      </w:r>
    </w:p>
    <w:p>
      <w:pPr>
        <w:spacing w:line="300" w:lineRule="auto"/>
        <w:ind w:firstLine="482"/>
        <w:rPr>
          <w:rFonts w:hAnsi="宋体"/>
          <w:b/>
          <w:sz w:val="24"/>
        </w:rPr>
      </w:pPr>
      <w:r>
        <w:rPr>
          <w:rFonts w:hint="eastAsia" w:hAnsi="宋体"/>
          <w:b/>
          <w:sz w:val="24"/>
        </w:rPr>
        <w:t>（1）综合日志审计系统 一套</w:t>
      </w:r>
    </w:p>
    <w:p>
      <w:pPr>
        <w:snapToGrid w:val="0"/>
        <w:spacing w:line="560" w:lineRule="exact"/>
        <w:textAlignment w:val="baseline"/>
        <w:rPr>
          <w:rFonts w:hAnsi="宋体"/>
          <w:b/>
          <w:sz w:val="24"/>
        </w:rPr>
      </w:pPr>
      <w:r>
        <w:rPr>
          <w:rFonts w:hint="eastAsia" w:hAnsi="宋体"/>
          <w:b/>
          <w:sz w:val="24"/>
        </w:rPr>
        <w:t>（三）技术部份</w:t>
      </w:r>
    </w:p>
    <w:tbl>
      <w:tblPr>
        <w:tblStyle w:val="7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282"/>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pPr>
              <w:spacing w:line="360" w:lineRule="auto"/>
              <w:jc w:val="center"/>
              <w:rPr>
                <w:rFonts w:ascii="Calibri" w:eastAsiaTheme="minorEastAsia" w:cstheme="minorBidi"/>
                <w:sz w:val="24"/>
              </w:rPr>
            </w:pPr>
            <w:r>
              <w:rPr>
                <w:rFonts w:hint="eastAsia" w:ascii="Calibri" w:eastAsiaTheme="minorEastAsia" w:cstheme="minorBidi"/>
                <w:sz w:val="24"/>
              </w:rPr>
              <w:t>序号</w:t>
            </w:r>
          </w:p>
        </w:tc>
        <w:tc>
          <w:tcPr>
            <w:tcW w:w="1282" w:type="dxa"/>
          </w:tcPr>
          <w:p>
            <w:pPr>
              <w:spacing w:line="360" w:lineRule="auto"/>
              <w:jc w:val="center"/>
              <w:rPr>
                <w:rFonts w:ascii="Calibri" w:eastAsiaTheme="minorEastAsia" w:cstheme="minorBidi"/>
                <w:sz w:val="24"/>
              </w:rPr>
            </w:pPr>
            <w:r>
              <w:rPr>
                <w:rFonts w:hint="eastAsia" w:ascii="Calibri" w:eastAsiaTheme="minorEastAsia" w:cstheme="minorBidi"/>
                <w:sz w:val="24"/>
              </w:rPr>
              <w:t>产品名称</w:t>
            </w:r>
          </w:p>
        </w:tc>
        <w:tc>
          <w:tcPr>
            <w:tcW w:w="6582" w:type="dxa"/>
          </w:tcPr>
          <w:p>
            <w:pPr>
              <w:spacing w:line="360" w:lineRule="auto"/>
              <w:jc w:val="center"/>
              <w:rPr>
                <w:rFonts w:ascii="Calibri" w:eastAsiaTheme="minorEastAsia" w:cstheme="minorBidi"/>
                <w:sz w:val="24"/>
              </w:rPr>
            </w:pPr>
            <w:r>
              <w:rPr>
                <w:rFonts w:hint="eastAsia" w:ascii="Calibri" w:eastAsiaTheme="minorEastAsia" w:cstheme="minorBidi"/>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spacing w:line="360" w:lineRule="auto"/>
              <w:jc w:val="center"/>
              <w:rPr>
                <w:rFonts w:hAnsi="宋体" w:cs="宋体" w:eastAsiaTheme="minorEastAsia"/>
                <w:sz w:val="24"/>
              </w:rPr>
            </w:pPr>
            <w:r>
              <w:rPr>
                <w:rFonts w:hint="eastAsia" w:hAnsi="宋体" w:cs="宋体" w:eastAsiaTheme="minorEastAsia"/>
                <w:sz w:val="24"/>
              </w:rPr>
              <w:t>1</w:t>
            </w:r>
          </w:p>
        </w:tc>
        <w:tc>
          <w:tcPr>
            <w:tcW w:w="1282" w:type="dxa"/>
            <w:vAlign w:val="center"/>
          </w:tcPr>
          <w:p>
            <w:pPr>
              <w:spacing w:line="360" w:lineRule="auto"/>
              <w:jc w:val="center"/>
              <w:rPr>
                <w:rFonts w:hAnsi="宋体" w:cs="宋体" w:eastAsiaTheme="minorEastAsia"/>
                <w:sz w:val="24"/>
              </w:rPr>
            </w:pPr>
            <w:r>
              <w:rPr>
                <w:rFonts w:hint="eastAsia" w:hAnsi="宋体" w:cs="宋体" w:eastAsiaTheme="minorEastAsia"/>
                <w:sz w:val="24"/>
              </w:rPr>
              <w:t>综合日志审计系统</w:t>
            </w:r>
          </w:p>
        </w:tc>
        <w:tc>
          <w:tcPr>
            <w:tcW w:w="6582" w:type="dxa"/>
          </w:tcPr>
          <w:p>
            <w:pPr>
              <w:spacing w:line="360" w:lineRule="auto"/>
              <w:jc w:val="left"/>
              <w:rPr>
                <w:rFonts w:hAnsi="宋体" w:cs="宋体" w:eastAsiaTheme="minorEastAsia"/>
                <w:sz w:val="24"/>
              </w:rPr>
            </w:pPr>
            <w:r>
              <w:rPr>
                <w:rFonts w:hint="eastAsia" w:hAnsi="宋体" w:cs="宋体" w:eastAsiaTheme="minorEastAsia"/>
                <w:sz w:val="24"/>
              </w:rPr>
              <w:t>★1、硬件外型</w:t>
            </w:r>
            <w:r>
              <w:rPr>
                <w:rFonts w:hAnsi="宋体" w:cs="宋体" w:eastAsiaTheme="minorEastAsia"/>
                <w:sz w:val="24"/>
              </w:rPr>
              <w:t>：</w:t>
            </w:r>
            <w:r>
              <w:rPr>
                <w:rFonts w:hint="eastAsia" w:hAnsi="宋体" w:cs="宋体" w:eastAsiaTheme="minorEastAsia"/>
                <w:sz w:val="24"/>
              </w:rPr>
              <w:t>软硬一体化2U标准机架式设备，配置双电源，CPU≥ 4核，内存≥16G，硬盘容量≥4T，千兆电口≥</w:t>
            </w:r>
            <w:r>
              <w:rPr>
                <w:rFonts w:hAnsi="宋体" w:cs="宋体" w:eastAsiaTheme="minorEastAsia"/>
                <w:sz w:val="24"/>
              </w:rPr>
              <w:t>6</w:t>
            </w:r>
            <w:r>
              <w:rPr>
                <w:rFonts w:hint="eastAsia" w:hAnsi="宋体" w:cs="宋体" w:eastAsiaTheme="minorEastAsia"/>
                <w:sz w:val="24"/>
              </w:rPr>
              <w:t>个</w:t>
            </w:r>
            <w:r>
              <w:rPr>
                <w:rFonts w:hAnsi="宋体" w:cs="宋体" w:eastAsiaTheme="minorEastAsia"/>
                <w:sz w:val="24"/>
              </w:rPr>
              <w:t>，</w:t>
            </w:r>
            <w:r>
              <w:rPr>
                <w:rFonts w:hint="eastAsia" w:hAnsi="宋体" w:cs="宋体" w:eastAsiaTheme="minorEastAsia"/>
                <w:sz w:val="24"/>
              </w:rPr>
              <w:t>扩展插槽≥</w:t>
            </w:r>
            <w:r>
              <w:rPr>
                <w:rFonts w:hAnsi="宋体" w:cs="宋体" w:eastAsiaTheme="minorEastAsia"/>
                <w:sz w:val="24"/>
              </w:rPr>
              <w:t>2</w:t>
            </w:r>
            <w:r>
              <w:rPr>
                <w:rFonts w:hint="eastAsia" w:hAnsi="宋体" w:cs="宋体" w:eastAsiaTheme="minorEastAsia"/>
                <w:sz w:val="24"/>
              </w:rPr>
              <w:t>个；</w:t>
            </w:r>
          </w:p>
          <w:p>
            <w:pPr>
              <w:spacing w:line="360" w:lineRule="auto"/>
              <w:jc w:val="left"/>
              <w:rPr>
                <w:rFonts w:hAnsi="宋体" w:cs="宋体" w:eastAsiaTheme="minorEastAsia"/>
                <w:sz w:val="24"/>
              </w:rPr>
            </w:pPr>
            <w:r>
              <w:rPr>
                <w:rFonts w:hint="eastAsia" w:hAnsi="宋体" w:cs="宋体" w:eastAsiaTheme="minorEastAsia"/>
                <w:sz w:val="24"/>
              </w:rPr>
              <w:t>2、处理性能</w:t>
            </w:r>
            <w:r>
              <w:rPr>
                <w:rFonts w:hAnsi="宋体" w:cs="宋体" w:eastAsiaTheme="minorEastAsia"/>
                <w:sz w:val="24"/>
              </w:rPr>
              <w:t>：</w:t>
            </w:r>
            <w:r>
              <w:rPr>
                <w:rFonts w:hint="eastAsia" w:hAnsi="宋体" w:cs="宋体" w:eastAsiaTheme="minorEastAsia"/>
                <w:sz w:val="24"/>
              </w:rPr>
              <w:t>日志处理能力3000条/秒、日志存储能力2.5亿条/秒，配置授权数≥110；</w:t>
            </w:r>
          </w:p>
          <w:p>
            <w:pPr>
              <w:spacing w:line="360" w:lineRule="auto"/>
              <w:jc w:val="left"/>
              <w:rPr>
                <w:rFonts w:hAnsi="宋体" w:cs="宋体" w:eastAsiaTheme="minorEastAsia"/>
                <w:sz w:val="24"/>
              </w:rPr>
            </w:pPr>
            <w:r>
              <w:rPr>
                <w:rFonts w:hint="eastAsia" w:hAnsi="宋体" w:cs="宋体" w:eastAsiaTheme="minorEastAsia"/>
                <w:sz w:val="24"/>
              </w:rPr>
              <w:t>3、支持对IP对象的自动发现功能；对自动发现的设备可以转资产或删除（提供截图，并加盖厂商公章）；</w:t>
            </w:r>
          </w:p>
          <w:p>
            <w:pPr>
              <w:spacing w:line="360" w:lineRule="auto"/>
              <w:jc w:val="left"/>
              <w:rPr>
                <w:rFonts w:hAnsi="宋体" w:cs="宋体" w:eastAsiaTheme="minorEastAsia"/>
                <w:sz w:val="24"/>
              </w:rPr>
            </w:pPr>
            <w:r>
              <w:rPr>
                <w:rFonts w:hint="eastAsia" w:hAnsi="宋体" w:cs="宋体" w:eastAsiaTheme="minorEastAsia"/>
                <w:sz w:val="24"/>
              </w:rPr>
              <w:t>4、支持被采设备无需安装任何代理；</w:t>
            </w:r>
          </w:p>
          <w:p>
            <w:pPr>
              <w:spacing w:line="360" w:lineRule="auto"/>
              <w:jc w:val="left"/>
              <w:rPr>
                <w:rFonts w:hAnsi="宋体" w:cs="宋体" w:eastAsiaTheme="minorEastAsia"/>
                <w:sz w:val="24"/>
              </w:rPr>
            </w:pPr>
            <w:r>
              <w:rPr>
                <w:rFonts w:hint="eastAsia" w:hAnsi="宋体" w:cs="宋体" w:eastAsiaTheme="minorEastAsia"/>
                <w:sz w:val="24"/>
              </w:rPr>
              <w:t>★5、支持系统从不同设备或系统中所获得的各类日志、事件中抽取相关片段准确和完整地映射至安全事件的标准字段，日志清洗后的标准化字段粒度≥90个字段（提供截图，并加盖厂商公章）；</w:t>
            </w:r>
          </w:p>
          <w:p>
            <w:pPr>
              <w:spacing w:line="360" w:lineRule="auto"/>
              <w:jc w:val="left"/>
              <w:rPr>
                <w:rFonts w:hAnsi="宋体" w:cs="宋体" w:eastAsiaTheme="minorEastAsia"/>
                <w:sz w:val="24"/>
              </w:rPr>
            </w:pPr>
            <w:r>
              <w:rPr>
                <w:rFonts w:hint="eastAsia" w:hAnsi="宋体" w:cs="宋体" w:eastAsiaTheme="minorEastAsia"/>
                <w:sz w:val="24"/>
              </w:rPr>
              <w:t>6、对安全事件重新定级。能根据统一的安全策略，按照安全设备识别名、事件类别、事件级别等所有可能的条件及各种条件的组合对事件严重级别进行重定义（提供截图，并加盖厂商公章）；</w:t>
            </w:r>
          </w:p>
          <w:p>
            <w:pPr>
              <w:spacing w:line="360" w:lineRule="auto"/>
              <w:jc w:val="left"/>
              <w:rPr>
                <w:rFonts w:hAnsi="宋体" w:cs="宋体" w:eastAsiaTheme="minorEastAsia"/>
                <w:sz w:val="24"/>
              </w:rPr>
            </w:pPr>
            <w:r>
              <w:rPr>
                <w:rFonts w:hint="eastAsia" w:hAnsi="宋体" w:cs="宋体" w:eastAsiaTheme="minorEastAsia"/>
                <w:sz w:val="24"/>
              </w:rPr>
              <w:t>7、支持为了挖掘不同类型、来源于不同设备或系统的日志或安全事件之间可能存在的关联关系，系统提供GUI方式的关联规则设置功能，关联的类型包括基于规则和基于统计的检查分析功能；</w:t>
            </w:r>
          </w:p>
          <w:p>
            <w:pPr>
              <w:spacing w:line="360" w:lineRule="auto"/>
              <w:jc w:val="left"/>
              <w:rPr>
                <w:rFonts w:hAnsi="宋体" w:cs="宋体" w:eastAsiaTheme="minorEastAsia"/>
                <w:sz w:val="24"/>
              </w:rPr>
            </w:pPr>
            <w:r>
              <w:rPr>
                <w:rFonts w:hint="eastAsia" w:hAnsi="宋体" w:cs="宋体" w:eastAsiaTheme="minorEastAsia"/>
                <w:sz w:val="24"/>
              </w:rPr>
              <w:t>8、系统内置关联规则≥100条（提供截图，并加盖厂商公章）；</w:t>
            </w:r>
          </w:p>
          <w:p>
            <w:pPr>
              <w:spacing w:line="360" w:lineRule="auto"/>
              <w:jc w:val="left"/>
              <w:rPr>
                <w:rFonts w:hAnsi="宋体" w:cs="宋体" w:eastAsiaTheme="minorEastAsia"/>
                <w:sz w:val="24"/>
              </w:rPr>
            </w:pPr>
            <w:r>
              <w:rPr>
                <w:rFonts w:hAnsi="宋体" w:cs="宋体" w:eastAsiaTheme="minorEastAsia"/>
                <w:sz w:val="24"/>
              </w:rPr>
              <w:t>9</w:t>
            </w:r>
            <w:r>
              <w:rPr>
                <w:rFonts w:hint="eastAsia" w:hAnsi="宋体" w:cs="宋体" w:eastAsiaTheme="minorEastAsia"/>
                <w:sz w:val="24"/>
              </w:rPr>
              <w:t>、支持外接扩展硬件终端威胁检测模块</w:t>
            </w:r>
            <w:r>
              <w:rPr>
                <w:rFonts w:hAnsi="宋体" w:cs="宋体" w:eastAsiaTheme="minorEastAsia"/>
                <w:sz w:val="24"/>
              </w:rPr>
              <w:t>，</w:t>
            </w:r>
            <w:r>
              <w:rPr>
                <w:rFonts w:hint="eastAsia" w:hAnsi="宋体" w:cs="宋体" w:eastAsiaTheme="minorEastAsia"/>
                <w:sz w:val="24"/>
              </w:rPr>
              <w:t>模块可用端口数≥28个，其中千兆电口≥24个，千兆光口≥4个</w:t>
            </w:r>
            <w:r>
              <w:rPr>
                <w:rFonts w:hAnsi="宋体" w:cs="宋体" w:eastAsiaTheme="minorEastAsia"/>
                <w:sz w:val="24"/>
              </w:rPr>
              <w:t>；</w:t>
            </w:r>
          </w:p>
          <w:p>
            <w:pPr>
              <w:spacing w:line="360" w:lineRule="auto"/>
              <w:jc w:val="left"/>
              <w:rPr>
                <w:rFonts w:hAnsi="宋体" w:cs="宋体" w:eastAsiaTheme="minorEastAsia"/>
                <w:sz w:val="24"/>
              </w:rPr>
            </w:pPr>
            <w:r>
              <w:rPr>
                <w:rFonts w:hint="eastAsia" w:hAnsi="宋体" w:cs="宋体" w:eastAsiaTheme="minorEastAsia"/>
                <w:sz w:val="24"/>
              </w:rPr>
              <w:t>1</w:t>
            </w:r>
            <w:r>
              <w:rPr>
                <w:rFonts w:hAnsi="宋体" w:cs="宋体" w:eastAsiaTheme="minorEastAsia"/>
                <w:sz w:val="24"/>
              </w:rPr>
              <w:t>0</w:t>
            </w:r>
            <w:r>
              <w:rPr>
                <w:rFonts w:hint="eastAsia" w:hAnsi="宋体" w:cs="宋体" w:eastAsiaTheme="minorEastAsia"/>
                <w:sz w:val="24"/>
              </w:rPr>
              <w:t>、外接模块支持识别终端接入IP、MAC、端口等信息，并关联用户身份；</w:t>
            </w:r>
          </w:p>
          <w:p>
            <w:pPr>
              <w:spacing w:line="360" w:lineRule="auto"/>
              <w:jc w:val="left"/>
              <w:rPr>
                <w:rFonts w:hAnsi="宋体" w:cs="宋体" w:eastAsiaTheme="minorEastAsia"/>
                <w:sz w:val="24"/>
              </w:rPr>
            </w:pPr>
            <w:r>
              <w:rPr>
                <w:rFonts w:hint="eastAsia" w:hAnsi="宋体" w:cs="宋体" w:eastAsiaTheme="minorEastAsia"/>
                <w:sz w:val="24"/>
              </w:rPr>
              <w:t>1</w:t>
            </w:r>
            <w:r>
              <w:rPr>
                <w:rFonts w:hAnsi="宋体" w:cs="宋体" w:eastAsiaTheme="minorEastAsia"/>
                <w:sz w:val="24"/>
              </w:rPr>
              <w:t>1</w:t>
            </w:r>
            <w:r>
              <w:rPr>
                <w:rFonts w:hint="eastAsia" w:hAnsi="宋体" w:cs="宋体" w:eastAsiaTheme="minorEastAsia"/>
                <w:sz w:val="24"/>
              </w:rPr>
              <w:t>、外接模块支持对病毒的网络层传播行为进行溯源及阻断，防止内网病毒扩散，提供第三方权威机构出具的测试报告证明并加盖原厂商公章；</w:t>
            </w:r>
          </w:p>
          <w:p>
            <w:pPr>
              <w:spacing w:line="360" w:lineRule="auto"/>
              <w:jc w:val="left"/>
              <w:rPr>
                <w:rFonts w:hAnsi="宋体" w:cs="宋体" w:eastAsiaTheme="minorEastAsia"/>
                <w:sz w:val="24"/>
              </w:rPr>
            </w:pPr>
            <w:r>
              <w:rPr>
                <w:rFonts w:hint="eastAsia" w:hAnsi="宋体" w:cs="宋体" w:eastAsiaTheme="minorEastAsia"/>
                <w:sz w:val="24"/>
              </w:rPr>
              <w:t>★1</w:t>
            </w:r>
            <w:r>
              <w:rPr>
                <w:rFonts w:hAnsi="宋体" w:cs="宋体" w:eastAsiaTheme="minorEastAsia"/>
                <w:sz w:val="24"/>
              </w:rPr>
              <w:t>2</w:t>
            </w:r>
            <w:r>
              <w:rPr>
                <w:rFonts w:hint="eastAsia" w:hAnsi="宋体" w:cs="宋体" w:eastAsiaTheme="minorEastAsia"/>
                <w:sz w:val="24"/>
              </w:rPr>
              <w:t>、外接模块支持防IP扫描、防UDP端口扫描、防TCP端口扫描等异常行为，提供第三方权威机构出具的测试报告证明并加盖原厂商公章；</w:t>
            </w:r>
          </w:p>
          <w:p>
            <w:pPr>
              <w:spacing w:line="360" w:lineRule="auto"/>
              <w:jc w:val="left"/>
              <w:rPr>
                <w:rFonts w:hAnsi="宋体" w:cs="宋体" w:eastAsiaTheme="minorEastAsia"/>
                <w:sz w:val="24"/>
              </w:rPr>
            </w:pPr>
            <w:r>
              <w:rPr>
                <w:rFonts w:hint="eastAsia" w:hAnsi="宋体" w:cs="宋体" w:eastAsiaTheme="minorEastAsia"/>
                <w:sz w:val="24"/>
              </w:rPr>
              <w:t>★1</w:t>
            </w:r>
            <w:r>
              <w:rPr>
                <w:rFonts w:hAnsi="宋体" w:cs="宋体" w:eastAsiaTheme="minorEastAsia"/>
                <w:sz w:val="24"/>
              </w:rPr>
              <w:t>3</w:t>
            </w:r>
            <w:r>
              <w:rPr>
                <w:rFonts w:hint="eastAsia" w:hAnsi="宋体" w:cs="宋体" w:eastAsiaTheme="minorEastAsia"/>
                <w:sz w:val="24"/>
              </w:rPr>
              <w:t>、外接模块支持“肉鸡”源主机的溯源及阻断，提供第三方权威机构出具的测试报告证明并加盖原厂商公章；</w:t>
            </w:r>
          </w:p>
          <w:p>
            <w:pPr>
              <w:spacing w:line="360" w:lineRule="auto"/>
              <w:jc w:val="left"/>
              <w:rPr>
                <w:rFonts w:hAnsi="宋体" w:cs="宋体" w:eastAsiaTheme="minorEastAsia"/>
                <w:sz w:val="24"/>
              </w:rPr>
            </w:pPr>
            <w:r>
              <w:rPr>
                <w:rFonts w:hint="eastAsia" w:hAnsi="宋体" w:cs="宋体" w:eastAsiaTheme="minorEastAsia"/>
                <w:sz w:val="24"/>
              </w:rPr>
              <w:t>1</w:t>
            </w:r>
            <w:r>
              <w:rPr>
                <w:rFonts w:hAnsi="宋体" w:cs="宋体" w:eastAsiaTheme="minorEastAsia"/>
                <w:sz w:val="24"/>
              </w:rPr>
              <w:t>4</w:t>
            </w:r>
            <w:r>
              <w:rPr>
                <w:rFonts w:hint="eastAsia" w:hAnsi="宋体" w:cs="宋体" w:eastAsiaTheme="minorEastAsia"/>
                <w:sz w:val="24"/>
              </w:rPr>
              <w:t>、外接模块支持IP仿冒、MAC仿冒溯源与阻断，提供第三方权威机构出具的测试报告证明并加盖原厂商公章；</w:t>
            </w:r>
          </w:p>
          <w:p>
            <w:pPr>
              <w:spacing w:line="360" w:lineRule="auto"/>
              <w:jc w:val="left"/>
              <w:rPr>
                <w:rFonts w:hAnsi="宋体" w:cs="宋体" w:eastAsiaTheme="minorEastAsia"/>
                <w:sz w:val="24"/>
              </w:rPr>
            </w:pPr>
            <w:r>
              <w:rPr>
                <w:rFonts w:hAnsi="宋体" w:cs="宋体" w:eastAsiaTheme="minorEastAsia"/>
                <w:sz w:val="24"/>
              </w:rPr>
              <w:t>15</w:t>
            </w:r>
            <w:r>
              <w:rPr>
                <w:rFonts w:hint="eastAsia" w:hAnsi="宋体" w:cs="宋体" w:eastAsiaTheme="minorEastAsia"/>
                <w:sz w:val="24"/>
              </w:rPr>
              <w:t>、外接模块支持识别IPC等哑终端设备类型，并支持开启终端安全功能，只允许特定类型的设备接入网络，提供第三方权威机构出具的测试报告证明并加盖原厂商公章</w:t>
            </w:r>
            <w:r>
              <w:rPr>
                <w:rFonts w:hAnsi="宋体" w:cs="宋体" w:eastAsiaTheme="minorEastAsia"/>
                <w:sz w:val="24"/>
              </w:rPr>
              <w:t>。</w:t>
            </w:r>
          </w:p>
        </w:tc>
      </w:tr>
    </w:tbl>
    <w:p>
      <w:pPr>
        <w:spacing w:line="500" w:lineRule="exact"/>
        <w:ind w:firstLine="480"/>
        <w:rPr>
          <w:rFonts w:hAnsi="宋体"/>
          <w:sz w:val="24"/>
        </w:rPr>
      </w:pPr>
    </w:p>
    <w:p>
      <w:pPr>
        <w:snapToGrid w:val="0"/>
        <w:spacing w:line="560" w:lineRule="exact"/>
        <w:textAlignment w:val="baseline"/>
        <w:rPr>
          <w:rFonts w:hAnsi="宋体"/>
          <w:b/>
          <w:sz w:val="24"/>
        </w:rPr>
      </w:pPr>
      <w:r>
        <w:rPr>
          <w:rFonts w:hint="eastAsia" w:hAnsi="宋体"/>
          <w:b/>
          <w:sz w:val="24"/>
        </w:rPr>
        <w:t>（四）商务要求</w:t>
      </w:r>
    </w:p>
    <w:p>
      <w:pPr>
        <w:spacing w:line="500" w:lineRule="exact"/>
        <w:ind w:firstLine="482"/>
        <w:rPr>
          <w:rFonts w:hAnsi="宋体"/>
          <w:b/>
          <w:bCs/>
          <w:sz w:val="24"/>
        </w:rPr>
      </w:pPr>
      <w:r>
        <w:rPr>
          <w:rFonts w:hint="eastAsia" w:hAnsi="宋体"/>
          <w:b/>
          <w:bCs/>
          <w:sz w:val="24"/>
        </w:rPr>
        <w:t>1．交货期及地点</w:t>
      </w:r>
    </w:p>
    <w:p>
      <w:pPr>
        <w:spacing w:line="520" w:lineRule="exact"/>
        <w:ind w:firstLine="480"/>
        <w:rPr>
          <w:rFonts w:hAnsi="宋体"/>
          <w:sz w:val="24"/>
        </w:rPr>
      </w:pPr>
      <w:r>
        <w:rPr>
          <w:rFonts w:hint="eastAsia" w:hAnsi="宋体"/>
          <w:sz w:val="24"/>
        </w:rPr>
        <w:t>1.1 交货期：综合日志审计系统于合同签订后</w:t>
      </w:r>
      <w:r>
        <w:rPr>
          <w:rFonts w:hAnsi="宋体"/>
          <w:sz w:val="24"/>
        </w:rPr>
        <w:t>7</w:t>
      </w:r>
      <w:r>
        <w:rPr>
          <w:rFonts w:hint="eastAsia" w:hAnsi="宋体"/>
          <w:sz w:val="24"/>
        </w:rPr>
        <w:t>日内提供产品清单，供应商应在采购方确定产品清单后的30个工作日内，完成产品交货、驻场实施，使产品投入正常使用；</w:t>
      </w:r>
    </w:p>
    <w:p>
      <w:pPr>
        <w:spacing w:line="520" w:lineRule="exact"/>
        <w:ind w:firstLine="480"/>
        <w:rPr>
          <w:rFonts w:hAnsi="宋体"/>
          <w:sz w:val="24"/>
        </w:rPr>
      </w:pPr>
      <w:r>
        <w:rPr>
          <w:rFonts w:hint="eastAsia" w:hAnsi="宋体"/>
          <w:sz w:val="24"/>
        </w:rPr>
        <w:t>1.2 交货地点: 成都市郫县安德镇彭温路399号（即：四川铁道职业学院安德校区图书馆）。</w:t>
      </w:r>
    </w:p>
    <w:p>
      <w:pPr>
        <w:spacing w:line="500" w:lineRule="exact"/>
        <w:ind w:firstLine="482"/>
        <w:rPr>
          <w:rFonts w:hAnsi="宋体"/>
          <w:b/>
          <w:bCs/>
          <w:sz w:val="24"/>
        </w:rPr>
      </w:pPr>
      <w:r>
        <w:rPr>
          <w:rFonts w:hint="eastAsia" w:hAnsi="宋体"/>
          <w:b/>
          <w:bCs/>
          <w:sz w:val="24"/>
        </w:rPr>
        <w:t>2．付款方法和条件</w:t>
      </w:r>
    </w:p>
    <w:p>
      <w:pPr>
        <w:spacing w:line="500" w:lineRule="exact"/>
        <w:ind w:firstLine="480"/>
        <w:rPr>
          <w:rFonts w:hAnsi="宋体"/>
          <w:bCs/>
          <w:sz w:val="24"/>
        </w:rPr>
      </w:pPr>
      <w:r>
        <w:rPr>
          <w:rFonts w:hint="eastAsia" w:hAnsi="宋体"/>
          <w:bCs/>
          <w:sz w:val="24"/>
        </w:rPr>
        <w:t>项目按预付款和尾款的方式分两次支付，其中预付款为中标金额的6</w:t>
      </w:r>
      <w:r>
        <w:rPr>
          <w:rFonts w:hAnsi="宋体"/>
          <w:bCs/>
          <w:sz w:val="24"/>
        </w:rPr>
        <w:t>0</w:t>
      </w:r>
      <w:r>
        <w:rPr>
          <w:rFonts w:hint="eastAsia" w:hAnsi="宋体"/>
          <w:bCs/>
          <w:sz w:val="24"/>
        </w:rPr>
        <w:t>%，尾款为中标金额的4</w:t>
      </w:r>
      <w:r>
        <w:rPr>
          <w:rFonts w:hAnsi="宋体"/>
          <w:bCs/>
          <w:sz w:val="24"/>
        </w:rPr>
        <w:t>0%</w:t>
      </w:r>
      <w:r>
        <w:rPr>
          <w:rFonts w:hint="eastAsia" w:hAnsi="宋体"/>
          <w:bCs/>
          <w:sz w:val="24"/>
        </w:rPr>
        <w:t>。在合同签订后</w:t>
      </w:r>
      <w:r>
        <w:rPr>
          <w:rFonts w:hAnsi="宋体"/>
          <w:bCs/>
          <w:sz w:val="24"/>
        </w:rPr>
        <w:t>7</w:t>
      </w:r>
      <w:r>
        <w:rPr>
          <w:rFonts w:hint="eastAsia" w:hAnsi="宋体"/>
          <w:bCs/>
          <w:sz w:val="24"/>
        </w:rPr>
        <w:t>个工作日内</w:t>
      </w:r>
      <w:r>
        <w:rPr>
          <w:rFonts w:hAnsi="宋体"/>
          <w:bCs/>
          <w:sz w:val="24"/>
        </w:rPr>
        <w:t>，</w:t>
      </w:r>
      <w:r>
        <w:rPr>
          <w:rFonts w:hint="eastAsia" w:hAnsi="宋体"/>
          <w:sz w:val="24"/>
        </w:rPr>
        <w:t>供应商</w:t>
      </w:r>
      <w:r>
        <w:rPr>
          <w:rFonts w:hint="eastAsia" w:hAnsi="宋体"/>
          <w:bCs/>
          <w:sz w:val="24"/>
        </w:rPr>
        <w:t>向采购方转账缴纳5</w:t>
      </w:r>
      <w:r>
        <w:rPr>
          <w:rFonts w:hAnsi="宋体"/>
          <w:bCs/>
          <w:sz w:val="24"/>
        </w:rPr>
        <w:t>%</w:t>
      </w:r>
      <w:r>
        <w:rPr>
          <w:rFonts w:hint="eastAsia" w:hAnsi="宋体"/>
          <w:bCs/>
          <w:sz w:val="24"/>
        </w:rPr>
        <w:t>履约保证金；采购方收到履约保证金及</w:t>
      </w:r>
      <w:r>
        <w:rPr>
          <w:rFonts w:hint="eastAsia" w:hAnsi="宋体"/>
          <w:sz w:val="24"/>
        </w:rPr>
        <w:t>供应商</w:t>
      </w:r>
      <w:r>
        <w:rPr>
          <w:rFonts w:hint="eastAsia" w:hAnsi="宋体"/>
          <w:bCs/>
          <w:sz w:val="24"/>
        </w:rPr>
        <w:t>开具的与预付款等额的增值税发票，于</w:t>
      </w:r>
      <w:r>
        <w:rPr>
          <w:rFonts w:hAnsi="宋体"/>
          <w:bCs/>
          <w:sz w:val="24"/>
        </w:rPr>
        <w:t>10</w:t>
      </w:r>
      <w:r>
        <w:rPr>
          <w:rFonts w:hint="eastAsia" w:hAnsi="宋体"/>
          <w:bCs/>
          <w:sz w:val="24"/>
        </w:rPr>
        <w:t>个工</w:t>
      </w:r>
      <w:r>
        <w:rPr>
          <w:rFonts w:hint="eastAsia" w:hAnsi="宋体"/>
          <w:bCs/>
          <w:sz w:val="24"/>
          <w:lang w:eastAsia="zh-CN"/>
        </w:rPr>
        <w:t>作</w:t>
      </w:r>
      <w:r>
        <w:rPr>
          <w:rFonts w:hint="eastAsia" w:hAnsi="宋体"/>
          <w:bCs/>
          <w:sz w:val="24"/>
        </w:rPr>
        <w:t>日内向</w:t>
      </w:r>
      <w:r>
        <w:rPr>
          <w:rFonts w:hint="eastAsia" w:hAnsi="宋体"/>
          <w:sz w:val="24"/>
        </w:rPr>
        <w:t>供应商</w:t>
      </w:r>
      <w:r>
        <w:rPr>
          <w:rFonts w:hint="eastAsia" w:hAnsi="宋体"/>
          <w:bCs/>
          <w:sz w:val="24"/>
        </w:rPr>
        <w:t>支付；完成交货并验收通过后，采购方在收到</w:t>
      </w:r>
      <w:r>
        <w:rPr>
          <w:rFonts w:hint="eastAsia" w:hAnsi="宋体"/>
          <w:sz w:val="24"/>
        </w:rPr>
        <w:t>供应商</w:t>
      </w:r>
      <w:r>
        <w:rPr>
          <w:rFonts w:hint="eastAsia" w:hAnsi="宋体"/>
          <w:bCs/>
          <w:sz w:val="24"/>
        </w:rPr>
        <w:t>开具的与尾款等额的增值税发票，于</w:t>
      </w:r>
      <w:r>
        <w:rPr>
          <w:rFonts w:hAnsi="宋体"/>
          <w:bCs/>
          <w:sz w:val="24"/>
        </w:rPr>
        <w:t>10</w:t>
      </w:r>
      <w:r>
        <w:rPr>
          <w:rFonts w:hint="eastAsia" w:hAnsi="宋体"/>
          <w:bCs/>
          <w:sz w:val="24"/>
        </w:rPr>
        <w:t>个工作日内完成尾款支付。项目质保期满，对项目资产、服务和资料等验收合格后，在收到供应商的退款财务凭证后1</w:t>
      </w:r>
      <w:r>
        <w:rPr>
          <w:rFonts w:hAnsi="宋体"/>
          <w:bCs/>
          <w:sz w:val="24"/>
        </w:rPr>
        <w:t>0</w:t>
      </w:r>
      <w:r>
        <w:rPr>
          <w:rFonts w:hint="eastAsia" w:hAnsi="宋体"/>
          <w:bCs/>
          <w:sz w:val="24"/>
        </w:rPr>
        <w:t>个工作日内，采购方以转账方式退回无息履约保证金。</w:t>
      </w:r>
    </w:p>
    <w:p>
      <w:pPr>
        <w:spacing w:line="500" w:lineRule="exact"/>
        <w:ind w:firstLine="482"/>
        <w:rPr>
          <w:rFonts w:hAnsi="宋体"/>
          <w:b/>
          <w:bCs/>
          <w:sz w:val="24"/>
        </w:rPr>
      </w:pPr>
      <w:r>
        <w:rPr>
          <w:rFonts w:hint="eastAsia" w:hAnsi="宋体"/>
          <w:b/>
          <w:bCs/>
          <w:sz w:val="24"/>
        </w:rPr>
        <w:t>3.安装调试及验收</w:t>
      </w:r>
    </w:p>
    <w:p>
      <w:pPr>
        <w:spacing w:line="500" w:lineRule="exact"/>
        <w:ind w:firstLine="480"/>
        <w:rPr>
          <w:rFonts w:hAnsi="宋体"/>
          <w:sz w:val="24"/>
        </w:rPr>
      </w:pPr>
      <w:r>
        <w:rPr>
          <w:rFonts w:hint="eastAsia" w:hAnsi="宋体"/>
          <w:sz w:val="24"/>
        </w:rPr>
        <w:t>3.1安装调试</w:t>
      </w:r>
    </w:p>
    <w:p>
      <w:pPr>
        <w:spacing w:line="500" w:lineRule="exact"/>
        <w:ind w:firstLine="480"/>
        <w:rPr>
          <w:rFonts w:hAnsi="宋体"/>
          <w:sz w:val="24"/>
        </w:rPr>
      </w:pPr>
      <w:r>
        <w:rPr>
          <w:rFonts w:hint="eastAsia" w:hAnsi="宋体"/>
          <w:sz w:val="24"/>
        </w:rPr>
        <w:t>本项目要求驻场实施安装和调试。</w:t>
      </w:r>
    </w:p>
    <w:p>
      <w:pPr>
        <w:spacing w:line="500" w:lineRule="exact"/>
        <w:ind w:firstLine="480"/>
        <w:rPr>
          <w:rFonts w:hAnsi="宋体"/>
          <w:sz w:val="24"/>
        </w:rPr>
      </w:pPr>
      <w:r>
        <w:rPr>
          <w:rFonts w:hint="eastAsia" w:hAnsi="宋体"/>
          <w:sz w:val="24"/>
        </w:rPr>
        <w:t>3</w:t>
      </w:r>
      <w:r>
        <w:rPr>
          <w:rFonts w:hAnsi="宋体"/>
          <w:sz w:val="24"/>
        </w:rPr>
        <w:t>.2</w:t>
      </w:r>
      <w:r>
        <w:rPr>
          <w:rFonts w:hint="eastAsia" w:hAnsi="宋体"/>
          <w:sz w:val="24"/>
        </w:rPr>
        <w:t>验收</w:t>
      </w:r>
    </w:p>
    <w:p>
      <w:pPr>
        <w:spacing w:line="500" w:lineRule="exact"/>
        <w:ind w:firstLine="480"/>
        <w:rPr>
          <w:rFonts w:hAnsi="宋体"/>
          <w:sz w:val="24"/>
        </w:rPr>
      </w:pPr>
      <w:r>
        <w:rPr>
          <w:rFonts w:hint="eastAsia" w:hAnsi="宋体"/>
          <w:sz w:val="24"/>
        </w:rPr>
        <w:t>项目安装调试完成后，系统进入为期</w:t>
      </w:r>
      <w:r>
        <w:rPr>
          <w:rFonts w:hAnsi="宋体"/>
          <w:sz w:val="24"/>
        </w:rPr>
        <w:t>5</w:t>
      </w:r>
      <w:r>
        <w:rPr>
          <w:rFonts w:hint="eastAsia" w:hAnsi="宋体"/>
          <w:sz w:val="24"/>
        </w:rPr>
        <w:t>个工作日的试用期。试用期满无质量问题，达到验收条件，采购方与供应商共同组织验收。试用期发现质量问题，采购方通知中标方维修，自维修结束之日起重新计算试用期；经3次维修仍不达验收条件，采购方有权中止合同，向供应商追回已支付的全部预付款，履约保证金不予退还。</w:t>
      </w:r>
    </w:p>
    <w:p>
      <w:pPr>
        <w:spacing w:line="500" w:lineRule="exact"/>
        <w:ind w:firstLine="482"/>
        <w:rPr>
          <w:rFonts w:hAnsi="宋体"/>
          <w:b/>
          <w:bCs/>
          <w:sz w:val="24"/>
        </w:rPr>
      </w:pPr>
      <w:r>
        <w:rPr>
          <w:rFonts w:hAnsi="宋体"/>
          <w:b/>
          <w:bCs/>
          <w:sz w:val="24"/>
        </w:rPr>
        <w:t>4</w:t>
      </w:r>
      <w:r>
        <w:rPr>
          <w:rFonts w:hint="eastAsia" w:hAnsi="宋体"/>
          <w:b/>
          <w:bCs/>
          <w:sz w:val="24"/>
        </w:rPr>
        <w:t>.服务要求</w:t>
      </w:r>
    </w:p>
    <w:p>
      <w:pPr>
        <w:spacing w:line="500" w:lineRule="exact"/>
        <w:ind w:firstLine="241" w:firstLineChars="100"/>
        <w:rPr>
          <w:rFonts w:hAnsi="宋体"/>
          <w:sz w:val="24"/>
        </w:rPr>
      </w:pPr>
      <w:r>
        <w:rPr>
          <w:rFonts w:hint="eastAsia" w:hAnsi="宋体"/>
          <w:b/>
          <w:bCs/>
          <w:sz w:val="24"/>
        </w:rPr>
        <w:t>★</w:t>
      </w:r>
      <w:r>
        <w:rPr>
          <w:rFonts w:hint="eastAsia" w:hAnsi="宋体"/>
          <w:sz w:val="24"/>
        </w:rPr>
        <w:t>（1）供应商须提供三年质保，质保期内产生的费用由供应商自行承担。供应商提供的系统在使用期内出现质量问题，应无条件维修或更换，并实行上门服务；采购人采购的产品如因本地服务器损坏、病毒攻击、误删等多种因素影响而造成数据丢失的或系统无法正常运行的，供应商负责协调采购人恢复所有数据和系统运行。供应商提供的产品出现故障或质量问题，供应商在接到通知后，24 小时内到达现场，及时排除故障并恢复正常运行。</w:t>
      </w:r>
    </w:p>
    <w:p>
      <w:pPr>
        <w:spacing w:line="500" w:lineRule="exact"/>
        <w:ind w:firstLine="198" w:firstLineChars="82"/>
        <w:rPr>
          <w:rFonts w:hAnsi="宋体"/>
          <w:sz w:val="24"/>
        </w:rPr>
      </w:pPr>
      <w:r>
        <w:rPr>
          <w:rFonts w:hint="eastAsia" w:hAnsi="宋体"/>
          <w:b/>
          <w:bCs/>
          <w:sz w:val="24"/>
        </w:rPr>
        <w:t>★</w:t>
      </w:r>
      <w:r>
        <w:rPr>
          <w:rFonts w:hint="eastAsia" w:hAnsi="宋体"/>
          <w:sz w:val="24"/>
        </w:rPr>
        <w:t>（2）项目质保期自甲乙双方确认通过验收之日起计算。</w:t>
      </w:r>
    </w:p>
    <w:p>
      <w:pPr>
        <w:spacing w:line="500" w:lineRule="exact"/>
        <w:ind w:firstLine="480"/>
        <w:rPr>
          <w:rFonts w:hAnsi="宋体"/>
          <w:sz w:val="24"/>
        </w:rPr>
      </w:pPr>
      <w:r>
        <w:rPr>
          <w:rFonts w:hint="eastAsia" w:hAnsi="宋体"/>
          <w:sz w:val="24"/>
        </w:rPr>
        <w:t>（</w:t>
      </w:r>
      <w:r>
        <w:rPr>
          <w:rFonts w:hAnsi="宋体"/>
          <w:sz w:val="24"/>
        </w:rPr>
        <w:t>3</w:t>
      </w:r>
      <w:r>
        <w:rPr>
          <w:rFonts w:hint="eastAsia" w:hAnsi="宋体"/>
          <w:sz w:val="24"/>
        </w:rPr>
        <w:t>）供应商应在约定的交货期内完成产品的本地化安装及调试工作。</w:t>
      </w:r>
    </w:p>
    <w:p>
      <w:pPr>
        <w:spacing w:line="500" w:lineRule="exact"/>
        <w:ind w:firstLine="480"/>
        <w:rPr>
          <w:rFonts w:hAnsi="宋体"/>
          <w:sz w:val="24"/>
        </w:rPr>
      </w:pPr>
      <w:r>
        <w:rPr>
          <w:rFonts w:hint="eastAsia" w:hAnsi="宋体"/>
          <w:sz w:val="24"/>
        </w:rPr>
        <w:t>（</w:t>
      </w:r>
      <w:r>
        <w:rPr>
          <w:rFonts w:hAnsi="宋体"/>
          <w:sz w:val="24"/>
        </w:rPr>
        <w:t>4</w:t>
      </w:r>
      <w:r>
        <w:rPr>
          <w:rFonts w:hint="eastAsia" w:hAnsi="宋体"/>
          <w:sz w:val="24"/>
        </w:rPr>
        <w:t>）供应商提供用户培训，培训内容分为系统常规使用和应急处置。</w:t>
      </w:r>
    </w:p>
    <w:p>
      <w:pPr>
        <w:spacing w:line="500" w:lineRule="exact"/>
        <w:ind w:firstLine="480"/>
        <w:rPr>
          <w:rFonts w:hAnsi="宋体"/>
          <w:sz w:val="24"/>
        </w:rPr>
      </w:pPr>
      <w:r>
        <w:rPr>
          <w:rFonts w:hint="eastAsia" w:hAnsi="宋体"/>
          <w:sz w:val="24"/>
        </w:rPr>
        <w:t>（</w:t>
      </w:r>
      <w:r>
        <w:rPr>
          <w:rFonts w:hAnsi="宋体"/>
          <w:sz w:val="24"/>
        </w:rPr>
        <w:t>5</w:t>
      </w:r>
      <w:r>
        <w:rPr>
          <w:rFonts w:hint="eastAsia" w:hAnsi="宋体"/>
          <w:sz w:val="24"/>
        </w:rPr>
        <w:t>）采购方所购应不存在知识产权保护问题，如存在相关问题，由供应商自行负责。</w:t>
      </w:r>
    </w:p>
    <w:p>
      <w:pPr>
        <w:spacing w:line="500" w:lineRule="exact"/>
        <w:ind w:firstLine="241" w:firstLineChars="100"/>
        <w:rPr>
          <w:rFonts w:hAnsi="宋体"/>
          <w:sz w:val="24"/>
        </w:rPr>
      </w:pPr>
      <w:r>
        <w:rPr>
          <w:rFonts w:hint="eastAsia" w:hAnsi="宋体"/>
          <w:b/>
          <w:bCs/>
          <w:sz w:val="24"/>
        </w:rPr>
        <w:t>★</w:t>
      </w:r>
      <w:r>
        <w:rPr>
          <w:rFonts w:hint="eastAsia" w:hAnsi="宋体"/>
          <w:sz w:val="24"/>
        </w:rPr>
        <w:t>（</w:t>
      </w:r>
      <w:r>
        <w:rPr>
          <w:rFonts w:hAnsi="宋体"/>
          <w:sz w:val="24"/>
        </w:rPr>
        <w:t>6</w:t>
      </w:r>
      <w:r>
        <w:rPr>
          <w:rFonts w:hint="eastAsia" w:hAnsi="宋体"/>
          <w:sz w:val="24"/>
        </w:rPr>
        <w:t>）用户权利要求：供应商必须保障采购方使用其产品、服务及其任何部分不受到第三方关于侵犯所有权、商标权或工业设计权的指控。任何第三方如果提出指控，供方必须与第三方交涉并承担由此引起的一切法律责任和费用。供应商提供的数据必须真实可靠，没有虚假成份。</w:t>
      </w:r>
    </w:p>
    <w:p>
      <w:pPr>
        <w:spacing w:line="500" w:lineRule="exact"/>
        <w:ind w:firstLine="480"/>
        <w:rPr>
          <w:rFonts w:hAnsi="宋体"/>
          <w:sz w:val="24"/>
        </w:rPr>
      </w:pPr>
      <w:r>
        <w:rPr>
          <w:rFonts w:hint="eastAsia" w:hAnsi="宋体"/>
          <w:sz w:val="24"/>
        </w:rPr>
        <w:t>（7）供应商承诺中标后在项目所在地设立分支机构或办事处或分公司，并有技术人员在项目所在地任职，以便出现任何问题随时解决。</w:t>
      </w:r>
      <w:r>
        <w:rPr>
          <w:rFonts w:hint="eastAsia" w:hAnsi="宋体"/>
          <w:b/>
          <w:bCs/>
          <w:sz w:val="24"/>
        </w:rPr>
        <w:t>供应商提供相关证明材料。</w:t>
      </w:r>
    </w:p>
    <w:p>
      <w:pPr>
        <w:snapToGrid w:val="0"/>
        <w:spacing w:line="560" w:lineRule="exact"/>
        <w:textAlignment w:val="baseline"/>
        <w:rPr>
          <w:rFonts w:hAnsi="宋体"/>
          <w:b/>
          <w:sz w:val="24"/>
        </w:rPr>
      </w:pPr>
      <w:r>
        <w:rPr>
          <w:rFonts w:hint="eastAsia" w:hAnsi="宋体"/>
          <w:b/>
          <w:sz w:val="24"/>
        </w:rPr>
        <w:t>（五）其他商务、技术要求</w:t>
      </w:r>
    </w:p>
    <w:p>
      <w:pPr>
        <w:spacing w:line="500" w:lineRule="exact"/>
        <w:ind w:firstLine="482"/>
        <w:rPr>
          <w:rFonts w:hAnsi="宋体"/>
          <w:sz w:val="24"/>
        </w:rPr>
      </w:pPr>
      <w:r>
        <w:rPr>
          <w:rFonts w:hint="eastAsia" w:hAnsi="宋体"/>
          <w:sz w:val="24"/>
          <w:lang w:val="en-US" w:eastAsia="zh-CN"/>
        </w:rPr>
        <w:t>1</w:t>
      </w:r>
      <w:r>
        <w:rPr>
          <w:rFonts w:hAnsi="宋体"/>
          <w:sz w:val="24"/>
        </w:rPr>
        <w:t>.</w:t>
      </w:r>
      <w:r>
        <w:rPr>
          <w:rFonts w:hint="eastAsia" w:hAnsi="宋体"/>
          <w:sz w:val="24"/>
        </w:rPr>
        <w:t>产品安全要求</w:t>
      </w:r>
    </w:p>
    <w:p>
      <w:pPr>
        <w:spacing w:line="500" w:lineRule="exact"/>
        <w:ind w:firstLine="480"/>
        <w:rPr>
          <w:rFonts w:hAnsi="宋体"/>
          <w:b/>
          <w:bCs/>
          <w:sz w:val="24"/>
        </w:rPr>
      </w:pPr>
      <w:r>
        <w:rPr>
          <w:rFonts w:hint="eastAsia" w:hAnsi="宋体"/>
          <w:sz w:val="24"/>
        </w:rPr>
        <w:t>供货商所提供的所有产品，均应达到或超过网络安全等级保护标准中二级保护对网络产品的要求，由采购方提供的网络环境和服务器除外。供货商须为提供以下安全认证中的一种或多种：《IT产品信息安全认证证书》、《网络安全等级保护系统备案证明》（2级及以上），以及产品开发者的《信息安全管理体系认证证书》。</w:t>
      </w:r>
      <w:r>
        <w:rPr>
          <w:rFonts w:hint="eastAsia" w:hAnsi="宋体"/>
          <w:b/>
          <w:bCs/>
          <w:sz w:val="24"/>
        </w:rPr>
        <w:t>所有证书均提供加盖供应商鲜章的复印件。</w:t>
      </w:r>
      <w:r>
        <w:rPr>
          <w:rFonts w:hAnsi="宋体"/>
          <w:b/>
          <w:bCs/>
          <w:sz w:val="24"/>
        </w:rPr>
        <w:br w:type="textWrapping"/>
      </w:r>
      <w:r>
        <w:rPr>
          <w:rFonts w:hAnsi="宋体"/>
          <w:b/>
          <w:bCs/>
          <w:sz w:val="24"/>
        </w:rPr>
        <w:tab/>
      </w:r>
      <w:r>
        <w:rPr>
          <w:rFonts w:hint="eastAsia" w:hAnsi="宋体"/>
          <w:b/>
          <w:bCs/>
          <w:sz w:val="24"/>
        </w:rPr>
        <w:t>带★为重要指标，在评标表中加重分值占比。</w:t>
      </w: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both"/>
        <w:rPr>
          <w:rFonts w:hint="eastAsia" w:hAnsi="宋体"/>
          <w:sz w:val="32"/>
          <w:szCs w:val="32"/>
        </w:rPr>
      </w:pPr>
    </w:p>
    <w:p>
      <w:pPr>
        <w:pStyle w:val="4"/>
        <w:snapToGrid w:val="0"/>
        <w:spacing w:before="0" w:after="0" w:line="240" w:lineRule="auto"/>
        <w:jc w:val="both"/>
        <w:rPr>
          <w:rFonts w:hint="eastAsia" w:hAnsi="宋体"/>
          <w:sz w:val="32"/>
          <w:szCs w:val="32"/>
        </w:rPr>
      </w:pPr>
    </w:p>
    <w:p>
      <w:pPr>
        <w:rPr>
          <w:rFonts w:hint="eastAsia" w:hAnsi="宋体"/>
          <w:sz w:val="32"/>
          <w:szCs w:val="32"/>
        </w:rPr>
      </w:pPr>
      <w:r>
        <w:rPr>
          <w:rFonts w:hint="eastAsia" w:hAnsi="宋体"/>
          <w:sz w:val="32"/>
          <w:szCs w:val="32"/>
        </w:rPr>
        <w:br w:type="page"/>
      </w:r>
    </w:p>
    <w:p>
      <w:pPr>
        <w:pStyle w:val="4"/>
        <w:snapToGrid w:val="0"/>
        <w:spacing w:before="0" w:after="0" w:line="240" w:lineRule="auto"/>
        <w:ind w:firstLine="3534" w:firstLineChars="1100"/>
        <w:jc w:val="both"/>
        <w:rPr>
          <w:rFonts w:hAnsi="宋体"/>
          <w:sz w:val="32"/>
          <w:szCs w:val="32"/>
        </w:rPr>
      </w:pPr>
      <w:r>
        <w:rPr>
          <w:rFonts w:hint="eastAsia" w:hAnsi="宋体"/>
          <w:sz w:val="32"/>
          <w:szCs w:val="32"/>
        </w:rPr>
        <w:t>第五章</w:t>
      </w:r>
      <w:r>
        <w:rPr>
          <w:rFonts w:hAnsi="宋体"/>
          <w:sz w:val="32"/>
          <w:szCs w:val="32"/>
        </w:rPr>
        <w:t xml:space="preserve">  </w:t>
      </w:r>
      <w:r>
        <w:rPr>
          <w:rFonts w:hint="eastAsia" w:hAnsi="宋体"/>
          <w:sz w:val="32"/>
          <w:szCs w:val="32"/>
        </w:rPr>
        <w:t>评标办法</w:t>
      </w:r>
    </w:p>
    <w:p>
      <w:pPr>
        <w:adjustRightInd w:val="0"/>
        <w:snapToGrid w:val="0"/>
        <w:spacing w:line="360" w:lineRule="auto"/>
        <w:ind w:firstLine="481" w:firstLineChars="188"/>
        <w:jc w:val="left"/>
        <w:rPr>
          <w:rFonts w:hAnsi="宋体"/>
          <w:spacing w:val="8"/>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分。招标主要考评因素包括报价（30</w:t>
      </w:r>
      <w:r>
        <w:rPr>
          <w:rFonts w:hAnsi="宋体"/>
          <w:color w:val="000000"/>
          <w:sz w:val="24"/>
        </w:rPr>
        <w:t>%</w:t>
      </w:r>
      <w:r>
        <w:rPr>
          <w:rFonts w:hint="eastAsia" w:hAnsi="宋体"/>
          <w:color w:val="000000"/>
          <w:sz w:val="24"/>
        </w:rPr>
        <w:t>）、技术指标（39</w:t>
      </w:r>
      <w:r>
        <w:rPr>
          <w:rFonts w:hAnsi="宋体"/>
          <w:color w:val="000000"/>
          <w:sz w:val="24"/>
        </w:rPr>
        <w:t>%</w:t>
      </w:r>
      <w:r>
        <w:rPr>
          <w:rFonts w:hint="eastAsia" w:hAnsi="宋体"/>
          <w:color w:val="000000"/>
          <w:sz w:val="24"/>
        </w:rPr>
        <w:t>）、</w:t>
      </w:r>
      <w:r>
        <w:rPr>
          <w:rFonts w:hint="eastAsia" w:hAnsi="宋体" w:cs="宋体"/>
          <w:bCs/>
          <w:spacing w:val="8"/>
          <w:sz w:val="24"/>
        </w:rPr>
        <w:t>网络安全产品及制造商技术能力</w:t>
      </w:r>
      <w:r>
        <w:rPr>
          <w:rFonts w:hint="eastAsia" w:hAnsi="宋体"/>
          <w:color w:val="000000"/>
          <w:sz w:val="24"/>
        </w:rPr>
        <w:t>（21</w:t>
      </w:r>
      <w:r>
        <w:rPr>
          <w:rFonts w:hAnsi="宋体"/>
          <w:color w:val="000000"/>
          <w:sz w:val="24"/>
        </w:rPr>
        <w:t>%</w:t>
      </w:r>
      <w:r>
        <w:rPr>
          <w:rFonts w:hint="eastAsia" w:hAnsi="宋体"/>
          <w:color w:val="000000"/>
          <w:sz w:val="24"/>
        </w:rPr>
        <w:t>）、售后及技术方案（</w:t>
      </w:r>
      <w:r>
        <w:rPr>
          <w:rFonts w:hAnsi="宋体"/>
          <w:color w:val="000000"/>
          <w:sz w:val="24"/>
        </w:rPr>
        <w:t>6%</w:t>
      </w:r>
      <w:r>
        <w:rPr>
          <w:rFonts w:hint="eastAsia" w:hAnsi="宋体"/>
          <w:color w:val="000000"/>
          <w:sz w:val="24"/>
        </w:rPr>
        <w:t>）、节能环保（1</w:t>
      </w:r>
      <w:r>
        <w:rPr>
          <w:rFonts w:hAnsi="宋体"/>
          <w:color w:val="000000"/>
          <w:sz w:val="24"/>
        </w:rPr>
        <w:t>%</w:t>
      </w:r>
      <w:r>
        <w:rPr>
          <w:rFonts w:hint="eastAsia" w:hAnsi="宋体"/>
          <w:color w:val="000000"/>
          <w:sz w:val="24"/>
        </w:rPr>
        <w:t>）、扶持不发达地区（1</w:t>
      </w:r>
      <w:r>
        <w:rPr>
          <w:rFonts w:hAnsi="宋体"/>
          <w:color w:val="000000"/>
          <w:sz w:val="24"/>
        </w:rPr>
        <w:t>%</w:t>
      </w:r>
      <w:r>
        <w:rPr>
          <w:rFonts w:hint="eastAsia" w:hAnsi="宋体"/>
          <w:color w:val="000000"/>
          <w:sz w:val="24"/>
        </w:rPr>
        <w:t>）和少数民族地区（1</w:t>
      </w:r>
      <w:r>
        <w:rPr>
          <w:rFonts w:hAnsi="宋体"/>
          <w:color w:val="000000"/>
          <w:sz w:val="24"/>
        </w:rPr>
        <w:t>%</w:t>
      </w:r>
      <w:r>
        <w:rPr>
          <w:rFonts w:hint="eastAsia" w:hAnsi="宋体"/>
          <w:color w:val="000000"/>
          <w:sz w:val="24"/>
        </w:rPr>
        <w:t>）和投标文件规范性（2</w:t>
      </w:r>
      <w:r>
        <w:rPr>
          <w:rFonts w:hAnsi="宋体"/>
          <w:color w:val="000000"/>
          <w:sz w:val="24"/>
        </w:rPr>
        <w:t>%</w:t>
      </w:r>
      <w:r>
        <w:rPr>
          <w:rFonts w:hint="eastAsia" w:hAnsi="宋体"/>
          <w:color w:val="000000"/>
          <w:sz w:val="24"/>
        </w:rPr>
        <w:t>）八个方面，各投标人三方面的所有评价指标得分之和为该投标人的综合得分。</w:t>
      </w:r>
    </w:p>
    <w:p>
      <w:pPr>
        <w:pStyle w:val="2"/>
      </w:pP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tbl>
      <w:tblPr>
        <w:tblStyle w:val="21"/>
        <w:tblW w:w="9432" w:type="dxa"/>
        <w:tblCellSpacing w:w="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2"/>
        <w:gridCol w:w="1245"/>
        <w:gridCol w:w="1020"/>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评价因素</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权重</w:t>
            </w:r>
          </w:p>
          <w:p>
            <w:pPr>
              <w:adjustRightInd w:val="0"/>
              <w:snapToGrid w:val="0"/>
              <w:spacing w:line="360" w:lineRule="auto"/>
              <w:rPr>
                <w:rFonts w:hAnsi="宋体" w:cs="宋体"/>
                <w:bCs/>
                <w:spacing w:val="8"/>
                <w:sz w:val="24"/>
              </w:rPr>
            </w:pPr>
            <w:r>
              <w:rPr>
                <w:rFonts w:hint="eastAsia" w:hAnsi="宋体" w:cs="宋体"/>
                <w:bCs/>
                <w:spacing w:val="8"/>
                <w:sz w:val="24"/>
              </w:rPr>
              <w:t>（满分）</w:t>
            </w:r>
          </w:p>
        </w:tc>
        <w:tc>
          <w:tcPr>
            <w:tcW w:w="6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1" w:firstLineChars="188"/>
              <w:jc w:val="center"/>
              <w:rPr>
                <w:rFonts w:hAnsi="宋体" w:cs="宋体"/>
                <w:bCs/>
                <w:spacing w:val="8"/>
                <w:sz w:val="24"/>
              </w:rPr>
            </w:pPr>
            <w:r>
              <w:rPr>
                <w:rFonts w:hint="eastAsia" w:hAnsi="宋体" w:cs="宋体"/>
                <w:bCs/>
                <w:spacing w:val="8"/>
                <w:sz w:val="24"/>
              </w:rPr>
              <w:t>评分原则说明</w:t>
            </w:r>
          </w:p>
        </w:tc>
      </w:tr>
      <w:bookmarkEnd w:id="41"/>
      <w:bookmark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1</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报价</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30分</w:t>
            </w:r>
          </w:p>
        </w:tc>
        <w:tc>
          <w:tcPr>
            <w:tcW w:w="646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投标报价得分=(基准价／投标报价)*30（评标基准价指满足招标文件要求且投标价格最低的投标报价）</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超过限制价的投标报价为无效报价，得0分。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2</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技术指标</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3</w:t>
            </w:r>
            <w:r>
              <w:rPr>
                <w:rFonts w:hAnsi="宋体" w:cs="宋体"/>
                <w:bCs/>
                <w:spacing w:val="8"/>
                <w:sz w:val="24"/>
              </w:rPr>
              <w:t>9</w:t>
            </w:r>
            <w:r>
              <w:rPr>
                <w:rFonts w:hint="eastAsia" w:hAnsi="宋体" w:cs="宋体"/>
                <w:bCs/>
                <w:spacing w:val="8"/>
                <w:sz w:val="24"/>
              </w:rPr>
              <w:t>分</w:t>
            </w:r>
          </w:p>
        </w:tc>
        <w:tc>
          <w:tcPr>
            <w:tcW w:w="646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1" w:firstLineChars="188"/>
              <w:jc w:val="left"/>
              <w:rPr>
                <w:rFonts w:hint="eastAsia" w:hAnsi="宋体" w:eastAsia="宋体" w:cs="宋体"/>
                <w:bCs/>
                <w:spacing w:val="8"/>
                <w:sz w:val="24"/>
                <w:lang w:eastAsia="zh-CN"/>
              </w:rPr>
            </w:pPr>
            <w:r>
              <w:rPr>
                <w:rFonts w:hint="eastAsia" w:hAnsi="宋体" w:cs="宋体"/>
                <w:bCs/>
                <w:spacing w:val="8"/>
                <w:sz w:val="24"/>
              </w:rPr>
              <w:t>投标产品技术参数全部满足招标文件设备技术指标，得3</w:t>
            </w:r>
            <w:r>
              <w:rPr>
                <w:rFonts w:hAnsi="宋体" w:cs="宋体"/>
                <w:bCs/>
                <w:spacing w:val="8"/>
                <w:sz w:val="24"/>
              </w:rPr>
              <w:t>9</w:t>
            </w:r>
            <w:r>
              <w:rPr>
                <w:rFonts w:hint="eastAsia" w:hAnsi="宋体" w:cs="宋体"/>
                <w:bCs/>
                <w:spacing w:val="8"/>
                <w:sz w:val="24"/>
              </w:rPr>
              <w:t>分，每不满足一项技术指标，重要技术指标扣5分，其他项扣3分；</w:t>
            </w:r>
            <w:r>
              <w:rPr>
                <w:rFonts w:hint="eastAsia" w:hAnsi="宋体" w:cs="宋体"/>
                <w:bCs/>
                <w:spacing w:val="8"/>
                <w:sz w:val="24"/>
                <w:lang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3</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网络安全产品及制造商技术能力</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2</w:t>
            </w:r>
            <w:r>
              <w:rPr>
                <w:rFonts w:hAnsi="宋体" w:cs="宋体"/>
                <w:bCs/>
                <w:spacing w:val="8"/>
                <w:sz w:val="24"/>
              </w:rPr>
              <w:t>1</w:t>
            </w:r>
            <w:r>
              <w:rPr>
                <w:rFonts w:hint="eastAsia" w:hAnsi="宋体" w:cs="宋体"/>
                <w:bCs/>
                <w:spacing w:val="8"/>
                <w:sz w:val="24"/>
              </w:rPr>
              <w:t>分</w:t>
            </w:r>
          </w:p>
        </w:tc>
        <w:tc>
          <w:tcPr>
            <w:tcW w:w="646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1.所投日志审计系统制造商具备国家信息安全测评中心《信息安全服务资质（安全工程类二级）及以上》证书</w:t>
            </w:r>
            <w:r>
              <w:rPr>
                <w:rFonts w:hAnsi="宋体" w:cs="宋体"/>
                <w:bCs/>
                <w:spacing w:val="8"/>
                <w:sz w:val="24"/>
              </w:rPr>
              <w:t>，</w:t>
            </w:r>
            <w:r>
              <w:rPr>
                <w:rFonts w:hint="eastAsia" w:hAnsi="宋体" w:cs="宋体"/>
                <w:bCs/>
                <w:spacing w:val="8"/>
                <w:sz w:val="24"/>
              </w:rPr>
              <w:t>二级得</w:t>
            </w:r>
            <w:r>
              <w:rPr>
                <w:rFonts w:hAnsi="宋体" w:cs="宋体"/>
                <w:bCs/>
                <w:spacing w:val="8"/>
                <w:sz w:val="24"/>
              </w:rPr>
              <w:t>4</w:t>
            </w:r>
            <w:r>
              <w:rPr>
                <w:rFonts w:hint="eastAsia" w:hAnsi="宋体" w:cs="宋体"/>
                <w:bCs/>
                <w:spacing w:val="8"/>
                <w:sz w:val="24"/>
              </w:rPr>
              <w:t>分</w:t>
            </w:r>
            <w:r>
              <w:rPr>
                <w:rFonts w:hAnsi="宋体" w:cs="宋体"/>
                <w:bCs/>
                <w:spacing w:val="8"/>
                <w:sz w:val="24"/>
              </w:rPr>
              <w:t>，</w:t>
            </w:r>
            <w:r>
              <w:rPr>
                <w:rFonts w:hint="eastAsia" w:hAnsi="宋体" w:cs="宋体"/>
                <w:bCs/>
                <w:spacing w:val="8"/>
                <w:sz w:val="24"/>
              </w:rPr>
              <w:t>一级得</w:t>
            </w:r>
            <w:r>
              <w:rPr>
                <w:rFonts w:hAnsi="宋体" w:cs="宋体"/>
                <w:bCs/>
                <w:spacing w:val="8"/>
                <w:sz w:val="24"/>
              </w:rPr>
              <w:t>2</w:t>
            </w:r>
            <w:r>
              <w:rPr>
                <w:rFonts w:hint="eastAsia" w:hAnsi="宋体" w:cs="宋体"/>
                <w:bCs/>
                <w:spacing w:val="8"/>
                <w:sz w:val="24"/>
              </w:rPr>
              <w:t>分；</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2.所投日志审计系统制造商具备QC080000有害物质过程管理体系认证资质</w:t>
            </w:r>
            <w:r>
              <w:rPr>
                <w:rFonts w:hAnsi="宋体" w:cs="宋体"/>
                <w:bCs/>
                <w:spacing w:val="8"/>
                <w:sz w:val="24"/>
              </w:rPr>
              <w:t>，</w:t>
            </w:r>
            <w:r>
              <w:rPr>
                <w:rFonts w:hint="eastAsia" w:hAnsi="宋体" w:cs="宋体"/>
                <w:bCs/>
                <w:spacing w:val="8"/>
                <w:sz w:val="24"/>
              </w:rPr>
              <w:t xml:space="preserve">具备得 </w:t>
            </w:r>
            <w:r>
              <w:rPr>
                <w:rFonts w:hAnsi="宋体" w:cs="宋体"/>
                <w:bCs/>
                <w:spacing w:val="8"/>
                <w:sz w:val="24"/>
              </w:rPr>
              <w:t>5</w:t>
            </w:r>
            <w:r>
              <w:rPr>
                <w:rFonts w:hint="eastAsia" w:hAnsi="宋体" w:cs="宋体"/>
                <w:bCs/>
                <w:spacing w:val="8"/>
                <w:sz w:val="24"/>
              </w:rPr>
              <w:t>分</w:t>
            </w:r>
            <w:r>
              <w:rPr>
                <w:rFonts w:hAnsi="宋体" w:cs="宋体"/>
                <w:bCs/>
                <w:spacing w:val="8"/>
                <w:sz w:val="24"/>
              </w:rPr>
              <w:t>，</w:t>
            </w:r>
            <w:r>
              <w:rPr>
                <w:rFonts w:hint="eastAsia" w:hAnsi="宋体" w:cs="宋体"/>
                <w:bCs/>
                <w:spacing w:val="8"/>
                <w:sz w:val="24"/>
              </w:rPr>
              <w:t>不具备不得分；</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3.所投日志审计系统制造商具备TL9000质量管理体系认证资质</w:t>
            </w:r>
            <w:r>
              <w:rPr>
                <w:rFonts w:hAnsi="宋体" w:cs="宋体"/>
                <w:bCs/>
                <w:spacing w:val="8"/>
                <w:sz w:val="24"/>
              </w:rPr>
              <w:t>，</w:t>
            </w:r>
            <w:r>
              <w:rPr>
                <w:rFonts w:hint="eastAsia" w:hAnsi="宋体" w:cs="宋体"/>
                <w:bCs/>
                <w:spacing w:val="8"/>
                <w:sz w:val="24"/>
              </w:rPr>
              <w:t>具备得</w:t>
            </w:r>
            <w:r>
              <w:rPr>
                <w:rFonts w:hAnsi="宋体" w:cs="宋体"/>
                <w:bCs/>
                <w:spacing w:val="8"/>
                <w:sz w:val="24"/>
              </w:rPr>
              <w:t>4</w:t>
            </w:r>
            <w:r>
              <w:rPr>
                <w:rFonts w:hint="eastAsia" w:hAnsi="宋体" w:cs="宋体"/>
                <w:bCs/>
                <w:spacing w:val="8"/>
                <w:sz w:val="24"/>
              </w:rPr>
              <w:t>分</w:t>
            </w:r>
            <w:r>
              <w:rPr>
                <w:rFonts w:hAnsi="宋体" w:cs="宋体"/>
                <w:bCs/>
                <w:spacing w:val="8"/>
                <w:sz w:val="24"/>
              </w:rPr>
              <w:t>，</w:t>
            </w:r>
            <w:r>
              <w:rPr>
                <w:rFonts w:hint="eastAsia" w:hAnsi="宋体" w:cs="宋体"/>
                <w:bCs/>
                <w:spacing w:val="8"/>
                <w:sz w:val="24"/>
              </w:rPr>
              <w:t>不具备不得分；</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 xml:space="preserve">4.所投日志审计系统制造商具备国家信息安全漏洞共享平台（CNVD）技术组支撑单位资质得 </w:t>
            </w:r>
            <w:r>
              <w:rPr>
                <w:rFonts w:hAnsi="宋体" w:cs="宋体"/>
                <w:bCs/>
                <w:spacing w:val="8"/>
                <w:sz w:val="24"/>
              </w:rPr>
              <w:t>4</w:t>
            </w:r>
            <w:r>
              <w:rPr>
                <w:rFonts w:hint="eastAsia" w:hAnsi="宋体" w:cs="宋体"/>
                <w:bCs/>
                <w:spacing w:val="8"/>
                <w:sz w:val="24"/>
              </w:rPr>
              <w:t>分，不具备不得分；</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 xml:space="preserve">5.所投日志审计系统制造商具备国家信息安全漏洞库（CNNVD）-技术支撑单位等级证书（一级）得 </w:t>
            </w:r>
            <w:r>
              <w:rPr>
                <w:rFonts w:hAnsi="宋体" w:cs="宋体"/>
                <w:bCs/>
                <w:spacing w:val="8"/>
                <w:sz w:val="24"/>
              </w:rPr>
              <w:t>4</w:t>
            </w:r>
            <w:r>
              <w:rPr>
                <w:rFonts w:hint="eastAsia" w:hAnsi="宋体" w:cs="宋体"/>
                <w:bCs/>
                <w:spacing w:val="8"/>
                <w:sz w:val="24"/>
              </w:rPr>
              <w:t>分，二级得2分，其他不得分；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4</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售后及技术方案</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6分</w:t>
            </w:r>
          </w:p>
        </w:tc>
        <w:tc>
          <w:tcPr>
            <w:tcW w:w="646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1、设计方案3分：</w:t>
            </w:r>
          </w:p>
          <w:p>
            <w:pPr>
              <w:adjustRightInd w:val="0"/>
              <w:snapToGrid w:val="0"/>
              <w:spacing w:line="360" w:lineRule="auto"/>
              <w:ind w:firstLine="481" w:firstLineChars="188"/>
              <w:jc w:val="left"/>
              <w:rPr>
                <w:rFonts w:hint="default" w:hAnsi="宋体" w:eastAsia="宋体" w:cs="宋体"/>
                <w:bCs/>
                <w:spacing w:val="8"/>
                <w:sz w:val="24"/>
                <w:lang w:val="en-US" w:eastAsia="zh-CN"/>
              </w:rPr>
            </w:pPr>
            <w:r>
              <w:rPr>
                <w:rFonts w:hint="eastAsia" w:hAnsi="宋体" w:cs="宋体"/>
                <w:bCs/>
                <w:spacing w:val="8"/>
                <w:sz w:val="24"/>
              </w:rPr>
              <w:t>（1）需要考虑采购人当前及未来五年的业务需求来设计合理的解决方案。</w:t>
            </w:r>
            <w:r>
              <w:rPr>
                <w:rFonts w:hint="eastAsia" w:hAnsi="宋体" w:cs="宋体"/>
                <w:bCs/>
                <w:spacing w:val="8"/>
                <w:sz w:val="24"/>
                <w:lang w:eastAsia="zh-CN"/>
              </w:rPr>
              <w:t>得</w:t>
            </w:r>
            <w:r>
              <w:rPr>
                <w:rFonts w:hint="eastAsia" w:hAnsi="宋体" w:cs="宋体"/>
                <w:bCs/>
                <w:spacing w:val="8"/>
                <w:sz w:val="24"/>
                <w:lang w:val="en-US" w:eastAsia="zh-CN"/>
              </w:rPr>
              <w:t>1分。未提供不得分。</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2）需要对采购人的网络和性能需求进行有效分析的前提下，结合网络安全产品的发展趋势，采用主流或具有先进性的技术方案；整网安全架构设计需充分考虑系统的稳定性、易扩容、安全性，并参照信息安全等级保护第三级要求设计</w:t>
            </w:r>
            <w:r>
              <w:rPr>
                <w:rFonts w:hint="eastAsia" w:hAnsi="宋体" w:cs="宋体"/>
                <w:bCs/>
                <w:spacing w:val="8"/>
                <w:sz w:val="24"/>
                <w:lang w:eastAsia="zh-CN"/>
              </w:rPr>
              <w:t>。得</w:t>
            </w:r>
            <w:r>
              <w:rPr>
                <w:rFonts w:hint="eastAsia" w:hAnsi="宋体" w:cs="宋体"/>
                <w:bCs/>
                <w:spacing w:val="8"/>
                <w:sz w:val="24"/>
                <w:lang w:val="en-US" w:eastAsia="zh-CN"/>
              </w:rPr>
              <w:t>2分，</w:t>
            </w:r>
            <w:r>
              <w:rPr>
                <w:rFonts w:hint="eastAsia" w:hAnsi="宋体" w:cs="宋体"/>
                <w:bCs/>
                <w:spacing w:val="8"/>
                <w:sz w:val="24"/>
              </w:rPr>
              <w:t xml:space="preserve">不得分。 </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2、实施方案和培训方案3分：</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项目实施总体方案的完整性、合理性，应包含完善可行的工程实施计划、人员组成、质量保证、工期管理等；培训方案合理、承诺按用户要求完成全部操作人员和管理人员培训。</w:t>
            </w:r>
            <w:r>
              <w:rPr>
                <w:rFonts w:hint="eastAsia" w:hAnsi="宋体" w:cs="宋体"/>
                <w:bCs/>
                <w:spacing w:val="8"/>
                <w:sz w:val="24"/>
                <w:lang w:eastAsia="zh-CN"/>
              </w:rPr>
              <w:t>包含以上内容得</w:t>
            </w:r>
            <w:r>
              <w:rPr>
                <w:rFonts w:hint="eastAsia" w:hAnsi="宋体" w:cs="宋体"/>
                <w:bCs/>
                <w:spacing w:val="8"/>
                <w:sz w:val="24"/>
                <w:lang w:val="en-US" w:eastAsia="zh-CN"/>
              </w:rPr>
              <w:t>3分，未提供要求项扣0.5分，扣完为止。未提供不得分。</w:t>
            </w:r>
            <w:r>
              <w:rPr>
                <w:rFonts w:hAnsi="宋体" w:cs="宋体"/>
                <w:bCs/>
                <w:spacing w:val="8"/>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5</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节能环保</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1分</w:t>
            </w:r>
          </w:p>
        </w:tc>
        <w:tc>
          <w:tcPr>
            <w:tcW w:w="646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国家强制采购产品除外，认定为政府采购节能产品或者政府采购环境标志产品或者无线局域网产品的 1 个得 0.5 分，最多得 1 分。非政府采购节能、环境标志产品的、 无线局域网产品的不得分。 注：以财政部会同国务院有关部门机构颁 发的最新文件为准（提供满足环境标志产品政府采购品目清单规定或节能产品政府采购品目清单规定的相关认证证明材料）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6</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扶持不发达地区和少 数民族地区</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1分</w:t>
            </w:r>
          </w:p>
        </w:tc>
        <w:tc>
          <w:tcPr>
            <w:tcW w:w="646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供应商注册地为不发达地区或少数民族地 区企业得 1 分。 注：①少数民族地区以营业执照的注册地为准②不发达地区以行政主管部门提供的相关 证明材料为准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7</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投标文件</w:t>
            </w:r>
          </w:p>
          <w:p>
            <w:pPr>
              <w:adjustRightInd w:val="0"/>
              <w:snapToGrid w:val="0"/>
              <w:spacing w:line="360" w:lineRule="auto"/>
              <w:jc w:val="center"/>
              <w:rPr>
                <w:rFonts w:hAnsi="宋体" w:cs="宋体"/>
                <w:bCs/>
                <w:spacing w:val="8"/>
                <w:sz w:val="24"/>
              </w:rPr>
            </w:pPr>
            <w:r>
              <w:rPr>
                <w:rFonts w:hint="eastAsia" w:hAnsi="宋体" w:cs="宋体"/>
                <w:bCs/>
                <w:spacing w:val="8"/>
                <w:sz w:val="24"/>
              </w:rPr>
              <w:t>规范性</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2分</w:t>
            </w:r>
          </w:p>
        </w:tc>
        <w:tc>
          <w:tcPr>
            <w:tcW w:w="646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投标文件制作规范，没有细微偏差情形的得2分；有一项细微偏差扣0.5分，直至该项分值扣完为止。</w:t>
            </w:r>
          </w:p>
        </w:tc>
      </w:tr>
    </w:tbl>
    <w:p>
      <w:pPr>
        <w:rPr>
          <w:rFonts w:hAnsi="宋体" w:cs="宋体"/>
          <w:sz w:val="30"/>
          <w:szCs w:val="30"/>
        </w:rPr>
      </w:pPr>
      <w:r>
        <w:rPr>
          <w:rFonts w:hint="eastAsia" w:hAnsi="宋体" w:cs="宋体"/>
          <w:sz w:val="30"/>
          <w:szCs w:val="30"/>
        </w:rPr>
        <w:br w:type="page"/>
      </w:r>
    </w:p>
    <w:p>
      <w:pPr>
        <w:pStyle w:val="4"/>
        <w:snapToGrid w:val="0"/>
        <w:spacing w:before="0" w:after="0" w:line="360" w:lineRule="auto"/>
        <w:ind w:firstLine="2711" w:firstLineChars="900"/>
        <w:rPr>
          <w:rFonts w:hAnsi="宋体" w:cs="宋体"/>
          <w:sz w:val="30"/>
          <w:szCs w:val="30"/>
        </w:rPr>
      </w:pPr>
    </w:p>
    <w:p>
      <w:pPr>
        <w:pStyle w:val="4"/>
        <w:numPr>
          <w:ilvl w:val="0"/>
          <w:numId w:val="6"/>
        </w:numPr>
        <w:snapToGrid w:val="0"/>
        <w:spacing w:before="0" w:after="0" w:line="360" w:lineRule="auto"/>
        <w:ind w:firstLine="2711" w:firstLineChars="900"/>
        <w:rPr>
          <w:rFonts w:hint="eastAsia" w:hAnsi="宋体" w:cs="宋体"/>
          <w:sz w:val="30"/>
          <w:szCs w:val="30"/>
        </w:rPr>
      </w:pPr>
      <w:r>
        <w:rPr>
          <w:rFonts w:hint="eastAsia" w:hAnsi="宋体" w:cs="宋体"/>
          <w:sz w:val="30"/>
          <w:szCs w:val="30"/>
        </w:rPr>
        <w:t>合同主要条款</w:t>
      </w:r>
    </w:p>
    <w:p>
      <w:pPr>
        <w:numPr>
          <w:ilvl w:val="0"/>
          <w:numId w:val="0"/>
        </w:numPr>
        <w:jc w:val="center"/>
        <w:rPr>
          <w:rFonts w:hint="eastAsia" w:eastAsia="宋体"/>
          <w:lang w:val="en-US" w:eastAsia="zh-CN"/>
        </w:rPr>
      </w:pPr>
      <w:r>
        <w:rPr>
          <w:rFonts w:hint="eastAsia"/>
          <w:sz w:val="28"/>
          <w:szCs w:val="28"/>
          <w:lang w:val="en-US" w:eastAsia="zh-CN"/>
        </w:rPr>
        <w:t>(双方协商制定）</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60288;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1312;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Ansi="宋体"/>
      </w:rPr>
    </w:pPr>
    <w:r>
      <w:rPr>
        <w:rFonts w:hint="eastAsia" w:hAnsi="宋体"/>
      </w:rPr>
      <w:t>2022年综合日志审计系统建设项目－招标文件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F585E2FF"/>
    <w:multiLevelType w:val="singleLevel"/>
    <w:tmpl w:val="F585E2FF"/>
    <w:lvl w:ilvl="0" w:tentative="0">
      <w:start w:val="6"/>
      <w:numFmt w:val="chineseCounting"/>
      <w:suff w:val="space"/>
      <w:lvlText w:val="第%1章"/>
      <w:lvlJc w:val="left"/>
      <w:rPr>
        <w:rFonts w:hint="eastAsia"/>
      </w:rPr>
    </w:lvl>
  </w:abstractNum>
  <w:abstractNum w:abstractNumId="2">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wNmI4ODVkOTI4MDU0N2JlOTE4OWZjNjc2YmI3OWQifQ=="/>
  </w:docVars>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069A1"/>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5DF"/>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B4D27"/>
    <w:rsid w:val="005C0690"/>
    <w:rsid w:val="005D660E"/>
    <w:rsid w:val="005D76BC"/>
    <w:rsid w:val="005F3651"/>
    <w:rsid w:val="005F6D20"/>
    <w:rsid w:val="006076D0"/>
    <w:rsid w:val="00620965"/>
    <w:rsid w:val="0064548D"/>
    <w:rsid w:val="0068224E"/>
    <w:rsid w:val="00691FBB"/>
    <w:rsid w:val="00695452"/>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96E92"/>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E0E42"/>
    <w:rsid w:val="00AE5591"/>
    <w:rsid w:val="00AE6325"/>
    <w:rsid w:val="00AE7EF8"/>
    <w:rsid w:val="00B10AC3"/>
    <w:rsid w:val="00B35C4C"/>
    <w:rsid w:val="00B6224E"/>
    <w:rsid w:val="00B634A6"/>
    <w:rsid w:val="00B92137"/>
    <w:rsid w:val="00BA04EB"/>
    <w:rsid w:val="00BA1E3F"/>
    <w:rsid w:val="00BA7A4D"/>
    <w:rsid w:val="00BB1BA1"/>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07FA8"/>
    <w:rsid w:val="00D21B10"/>
    <w:rsid w:val="00D3708F"/>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B47C2"/>
    <w:rsid w:val="00EB7FAF"/>
    <w:rsid w:val="00EC14D2"/>
    <w:rsid w:val="00ED6EA0"/>
    <w:rsid w:val="00EE1B3C"/>
    <w:rsid w:val="00EF4DBE"/>
    <w:rsid w:val="00EF7675"/>
    <w:rsid w:val="00F05EDF"/>
    <w:rsid w:val="00F604E1"/>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CB291F"/>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C265F"/>
    <w:rsid w:val="2E5D6548"/>
    <w:rsid w:val="2E870FE2"/>
    <w:rsid w:val="2EF67098"/>
    <w:rsid w:val="2F043E2F"/>
    <w:rsid w:val="2F31727D"/>
    <w:rsid w:val="2F5051AF"/>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B7229"/>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8E5497"/>
    <w:rsid w:val="53DF5628"/>
    <w:rsid w:val="53F6304F"/>
    <w:rsid w:val="54103BF9"/>
    <w:rsid w:val="5427111E"/>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6C7060"/>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1"/>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w:basedOn w:val="1"/>
    <w:qFormat/>
    <w:uiPriority w:val="0"/>
    <w:pPr>
      <w:spacing w:after="120"/>
    </w:pPr>
    <w:rPr>
      <w:rFonts w:ascii="Times New Roman"/>
    </w:rPr>
  </w:style>
  <w:style w:type="paragraph" w:styleId="10">
    <w:name w:val="Body Text Indent"/>
    <w:basedOn w:val="1"/>
    <w:link w:val="39"/>
    <w:qFormat/>
    <w:uiPriority w:val="0"/>
    <w:pPr>
      <w:ind w:firstLine="630"/>
    </w:pPr>
    <w:rPr>
      <w:rFonts w:ascii="Times New Roman"/>
      <w:kern w:val="2"/>
      <w:sz w:val="32"/>
    </w:rPr>
  </w:style>
  <w:style w:type="paragraph" w:styleId="11">
    <w:name w:val="Plain Text"/>
    <w:basedOn w:val="1"/>
    <w:link w:val="48"/>
    <w:qFormat/>
    <w:uiPriority w:val="0"/>
    <w:rPr>
      <w:rFonts w:hAnsi="Courier New"/>
      <w:kern w:val="2"/>
      <w:sz w:val="21"/>
    </w:rPr>
  </w:style>
  <w:style w:type="paragraph" w:styleId="12">
    <w:name w:val="Body Text Indent 2"/>
    <w:basedOn w:val="1"/>
    <w:qFormat/>
    <w:uiPriority w:val="0"/>
    <w:pPr>
      <w:ind w:firstLine="630"/>
    </w:pPr>
    <w:rPr>
      <w:sz w:val="32"/>
      <w:szCs w:val="32"/>
    </w:rPr>
  </w:style>
  <w:style w:type="paragraph" w:styleId="13">
    <w:name w:val="Balloon Text"/>
    <w:basedOn w:val="1"/>
    <w:qFormat/>
    <w:uiPriority w:val="0"/>
    <w:rPr>
      <w:rFonts w:ascii="Times New Roman"/>
      <w:sz w:val="18"/>
      <w:szCs w:val="18"/>
    </w:rPr>
  </w:style>
  <w:style w:type="paragraph" w:styleId="14">
    <w:name w:val="footer"/>
    <w:basedOn w:val="1"/>
    <w:qFormat/>
    <w:uiPriority w:val="0"/>
    <w:pPr>
      <w:tabs>
        <w:tab w:val="center" w:pos="4140"/>
        <w:tab w:val="right" w:pos="8300"/>
      </w:tabs>
      <w:jc w:val="left"/>
    </w:pPr>
    <w:rPr>
      <w:sz w:val="18"/>
      <w:szCs w:val="18"/>
    </w:rPr>
  </w:style>
  <w:style w:type="paragraph" w:styleId="15">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6">
    <w:name w:val="toc 1"/>
    <w:basedOn w:val="1"/>
    <w:next w:val="1"/>
    <w:qFormat/>
    <w:uiPriority w:val="0"/>
  </w:style>
  <w:style w:type="paragraph" w:styleId="17">
    <w:name w:val="Body Text Indent 3"/>
    <w:basedOn w:val="1"/>
    <w:qFormat/>
    <w:uiPriority w:val="0"/>
    <w:pPr>
      <w:spacing w:after="120"/>
      <w:ind w:left="420" w:leftChars="200"/>
    </w:pPr>
    <w:rPr>
      <w:rFonts w:ascii="Times New Roman"/>
      <w:sz w:val="16"/>
      <w:szCs w:val="16"/>
    </w:rPr>
  </w:style>
  <w:style w:type="paragraph" w:styleId="18">
    <w:name w:val="toc 2"/>
    <w:basedOn w:val="1"/>
    <w:next w:val="1"/>
    <w:qFormat/>
    <w:uiPriority w:val="0"/>
    <w:pPr>
      <w:ind w:left="420" w:leftChars="200"/>
    </w:pPr>
    <w:rPr>
      <w:rFonts w:ascii="Times New Roman"/>
    </w:rPr>
  </w:style>
  <w:style w:type="paragraph" w:styleId="19">
    <w:name w:val="Body Text 2"/>
    <w:basedOn w:val="1"/>
    <w:qFormat/>
    <w:uiPriority w:val="0"/>
    <w:pPr>
      <w:spacing w:line="480" w:lineRule="auto"/>
    </w:pPr>
    <w:rPr>
      <w:rFonts w:ascii="Times New Roman"/>
    </w:rPr>
  </w:style>
  <w:style w:type="paragraph" w:styleId="20">
    <w:name w:val="Normal (Web)"/>
    <w:basedOn w:val="1"/>
    <w:qFormat/>
    <w:uiPriority w:val="0"/>
    <w:pPr>
      <w:widowControl/>
      <w:spacing w:before="100" w:beforeAutospacing="1" w:after="100" w:afterAutospacing="1"/>
      <w:jc w:val="left"/>
    </w:pPr>
    <w:rPr>
      <w:rFonts w:hAnsi="宋体"/>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Arial" w:hAnsi="Arial" w:eastAsia="宋体" w:cs="Arial"/>
      <w:color w:val="007CD2"/>
      <w:sz w:val="24"/>
      <w:szCs w:val="24"/>
      <w:u w:val="none"/>
    </w:rPr>
  </w:style>
  <w:style w:type="character" w:styleId="27">
    <w:name w:val="Hyperlink"/>
    <w:qFormat/>
    <w:uiPriority w:val="0"/>
    <w:rPr>
      <w:rFonts w:ascii="Times New Roman" w:hAnsi="Times New Roman" w:eastAsia="宋体" w:cs="Times New Roman"/>
      <w:color w:val="0000FF"/>
      <w:u w:val="single"/>
    </w:rPr>
  </w:style>
  <w:style w:type="character" w:styleId="28">
    <w:name w:val="annotation reference"/>
    <w:qFormat/>
    <w:uiPriority w:val="0"/>
    <w:rPr>
      <w:rFonts w:cs="Times New Roman"/>
      <w:sz w:val="21"/>
      <w:szCs w:val="21"/>
    </w:rPr>
  </w:style>
  <w:style w:type="character" w:customStyle="1" w:styleId="29">
    <w:name w:val="font31"/>
    <w:qFormat/>
    <w:uiPriority w:val="0"/>
    <w:rPr>
      <w:rFonts w:hint="eastAsia" w:ascii="宋体" w:hAnsi="宋体" w:eastAsia="宋体" w:cs="宋体"/>
      <w:b/>
      <w:color w:val="000000"/>
      <w:sz w:val="22"/>
      <w:szCs w:val="22"/>
      <w:u w:val="none"/>
    </w:rPr>
  </w:style>
  <w:style w:type="character" w:customStyle="1" w:styleId="30">
    <w:name w:val="style1"/>
    <w:qFormat/>
    <w:uiPriority w:val="0"/>
    <w:rPr>
      <w:rFonts w:ascii="Times New Roman" w:hAnsi="Times New Roman" w:eastAsia="宋体" w:cs="Times New Roman"/>
    </w:rPr>
  </w:style>
  <w:style w:type="character" w:customStyle="1" w:styleId="31">
    <w:name w:val="正文缩进 字符"/>
    <w:link w:val="7"/>
    <w:qFormat/>
    <w:uiPriority w:val="0"/>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character" w:customStyle="1" w:styleId="33">
    <w:name w:val="font81"/>
    <w:qFormat/>
    <w:uiPriority w:val="0"/>
    <w:rPr>
      <w:rFonts w:hint="eastAsia" w:ascii="宋体" w:hAnsi="宋体" w:eastAsia="宋体" w:cs="宋体"/>
      <w:b/>
      <w:color w:val="000000"/>
      <w:sz w:val="22"/>
      <w:szCs w:val="22"/>
      <w:u w:val="none"/>
    </w:rPr>
  </w:style>
  <w:style w:type="character" w:customStyle="1" w:styleId="34">
    <w:name w:val="tdrownotice1"/>
    <w:qFormat/>
    <w:uiPriority w:val="0"/>
    <w:rPr>
      <w:rFonts w:hint="default" w:ascii="Times New Roman" w:hAnsi="Times New Roman" w:eastAsia="宋体" w:cs="Times New Roman"/>
      <w:sz w:val="22"/>
    </w:rPr>
  </w:style>
  <w:style w:type="character" w:customStyle="1" w:styleId="35">
    <w:name w:val="表正文 Char1"/>
    <w:qFormat/>
    <w:uiPriority w:val="0"/>
    <w:rPr>
      <w:rFonts w:ascii="Times New Roman" w:hAnsi="Times New Roman" w:eastAsia="宋体" w:cs="Times New Roman"/>
      <w:kern w:val="2"/>
      <w:sz w:val="21"/>
      <w:szCs w:val="24"/>
      <w:lang w:val="en-US" w:eastAsia="zh-CN" w:bidi="ar-SA"/>
    </w:rPr>
  </w:style>
  <w:style w:type="character" w:customStyle="1" w:styleId="36">
    <w:name w:val="font61"/>
    <w:qFormat/>
    <w:uiPriority w:val="0"/>
    <w:rPr>
      <w:rFonts w:hint="eastAsia" w:ascii="微软雅黑" w:hAnsi="微软雅黑" w:eastAsia="微软雅黑" w:cs="微软雅黑"/>
      <w:b/>
      <w:color w:val="000000"/>
      <w:sz w:val="22"/>
      <w:szCs w:val="22"/>
      <w:u w:val="none"/>
    </w:rPr>
  </w:style>
  <w:style w:type="character" w:customStyle="1" w:styleId="37">
    <w:name w:val="font71"/>
    <w:qFormat/>
    <w:uiPriority w:val="0"/>
    <w:rPr>
      <w:rFonts w:hint="eastAsia" w:ascii="宋体" w:hAnsi="宋体" w:eastAsia="宋体" w:cs="宋体"/>
      <w:color w:val="000000"/>
      <w:sz w:val="20"/>
      <w:szCs w:val="20"/>
      <w:u w:val="none"/>
    </w:rPr>
  </w:style>
  <w:style w:type="character" w:customStyle="1" w:styleId="38">
    <w:name w:val="font01"/>
    <w:qFormat/>
    <w:uiPriority w:val="0"/>
    <w:rPr>
      <w:rFonts w:hint="eastAsia" w:ascii="宋体" w:hAnsi="宋体" w:eastAsia="宋体" w:cs="宋体"/>
      <w:i/>
      <w:color w:val="000000"/>
      <w:sz w:val="20"/>
      <w:szCs w:val="20"/>
      <w:u w:val="none"/>
    </w:rPr>
  </w:style>
  <w:style w:type="character" w:customStyle="1" w:styleId="39">
    <w:name w:val="正文文本缩进 字符"/>
    <w:link w:val="10"/>
    <w:qFormat/>
    <w:uiPriority w:val="0"/>
    <w:rPr>
      <w:rFonts w:ascii="Times New Roman" w:hAnsi="Times New Roman" w:eastAsia="宋体" w:cs="Times New Roman"/>
      <w:kern w:val="2"/>
      <w:sz w:val="32"/>
      <w:lang w:val="en-US" w:eastAsia="zh-CN" w:bidi="ar-SA"/>
    </w:rPr>
  </w:style>
  <w:style w:type="character" w:customStyle="1" w:styleId="40">
    <w:name w:val="页码1"/>
    <w:qFormat/>
    <w:uiPriority w:val="0"/>
    <w:rPr>
      <w:rFonts w:ascii="Times New Roman" w:hAnsi="Times New Roman" w:eastAsia="宋体" w:cs="Times New Roman"/>
    </w:rPr>
  </w:style>
  <w:style w:type="character" w:customStyle="1" w:styleId="41">
    <w:name w:val="font41"/>
    <w:qFormat/>
    <w:uiPriority w:val="0"/>
    <w:rPr>
      <w:rFonts w:hint="eastAsia" w:ascii="宋体" w:hAnsi="宋体" w:eastAsia="宋体" w:cs="宋体"/>
      <w:color w:val="000000"/>
      <w:sz w:val="24"/>
      <w:szCs w:val="24"/>
      <w:u w:val="none"/>
    </w:rPr>
  </w:style>
  <w:style w:type="character" w:customStyle="1" w:styleId="42">
    <w:name w:val="font111"/>
    <w:qFormat/>
    <w:uiPriority w:val="0"/>
    <w:rPr>
      <w:rFonts w:hint="eastAsia" w:ascii="宋体" w:hAnsi="宋体" w:eastAsia="宋体" w:cs="宋体"/>
      <w:b/>
      <w:color w:val="000000"/>
      <w:sz w:val="32"/>
      <w:szCs w:val="32"/>
      <w:u w:val="none"/>
    </w:rPr>
  </w:style>
  <w:style w:type="character" w:customStyle="1" w:styleId="43">
    <w:name w:val="（符号）邀请函中一、"/>
    <w:qFormat/>
    <w:uiPriority w:val="0"/>
    <w:rPr>
      <w:rFonts w:ascii="黑体" w:hAnsi="黑体" w:eastAsia="黑体" w:cs="Times New Roman"/>
      <w:b/>
      <w:bCs/>
      <w:sz w:val="24"/>
    </w:rPr>
  </w:style>
  <w:style w:type="character" w:customStyle="1" w:styleId="44">
    <w:name w:val="font11"/>
    <w:qFormat/>
    <w:uiPriority w:val="0"/>
    <w:rPr>
      <w:rFonts w:hint="eastAsia" w:ascii="宋体" w:hAnsi="宋体" w:eastAsia="宋体" w:cs="宋体"/>
      <w:color w:val="000000"/>
      <w:sz w:val="24"/>
      <w:szCs w:val="24"/>
      <w:u w:val="none"/>
    </w:rPr>
  </w:style>
  <w:style w:type="character" w:customStyle="1" w:styleId="45">
    <w:name w:val="font21"/>
    <w:qFormat/>
    <w:uiPriority w:val="0"/>
    <w:rPr>
      <w:rFonts w:hint="eastAsia" w:ascii="宋体" w:hAnsi="宋体" w:eastAsia="宋体" w:cs="宋体"/>
      <w:color w:val="000000"/>
      <w:sz w:val="20"/>
      <w:szCs w:val="20"/>
      <w:u w:val="none"/>
    </w:rPr>
  </w:style>
  <w:style w:type="character" w:customStyle="1" w:styleId="46">
    <w:name w:val="左对齐的表内文字 Char"/>
    <w:link w:val="47"/>
    <w:qFormat/>
    <w:uiPriority w:val="0"/>
    <w:rPr>
      <w:rFonts w:ascii="Times New Roman" w:hAnsi="Times New Roman" w:eastAsia="仿宋_GB2312" w:cs="Times New Roman"/>
      <w:kern w:val="2"/>
      <w:sz w:val="21"/>
      <w:lang w:bidi="ar-SA"/>
    </w:rPr>
  </w:style>
  <w:style w:type="paragraph" w:customStyle="1" w:styleId="47">
    <w:name w:val="左对齐的表内文字"/>
    <w:basedOn w:val="1"/>
    <w:link w:val="46"/>
    <w:qFormat/>
    <w:uiPriority w:val="0"/>
    <w:rPr>
      <w:rFonts w:ascii="Times New Roman" w:eastAsia="仿宋_GB2312"/>
      <w:kern w:val="2"/>
      <w:sz w:val="21"/>
    </w:rPr>
  </w:style>
  <w:style w:type="character" w:customStyle="1" w:styleId="48">
    <w:name w:val="纯文本 字符"/>
    <w:link w:val="11"/>
    <w:qFormat/>
    <w:uiPriority w:val="0"/>
    <w:rPr>
      <w:rFonts w:ascii="宋体" w:hAnsi="Courier New" w:eastAsia="宋体" w:cs="Times New Roman"/>
      <w:kern w:val="2"/>
      <w:sz w:val="21"/>
      <w:lang w:val="en-US" w:eastAsia="zh-CN" w:bidi="ar-SA"/>
    </w:rPr>
  </w:style>
  <w:style w:type="paragraph" w:customStyle="1" w:styleId="49">
    <w:name w:val="_Style 3"/>
    <w:basedOn w:val="1"/>
    <w:qFormat/>
    <w:uiPriority w:val="34"/>
    <w:pPr>
      <w:ind w:firstLine="420" w:firstLineChars="200"/>
    </w:pPr>
  </w:style>
  <w:style w:type="paragraph" w:customStyle="1" w:styleId="50">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1">
    <w:name w:val="_Style 2"/>
    <w:basedOn w:val="1"/>
    <w:qFormat/>
    <w:uiPriority w:val="34"/>
    <w:pPr>
      <w:ind w:firstLine="420" w:firstLineChars="200"/>
    </w:pPr>
    <w:rPr>
      <w:rFonts w:ascii="Calibri"/>
    </w:rPr>
  </w:style>
  <w:style w:type="paragraph" w:customStyle="1" w:styleId="52">
    <w:name w:val="标准文本"/>
    <w:basedOn w:val="1"/>
    <w:qFormat/>
    <w:uiPriority w:val="0"/>
    <w:pPr>
      <w:spacing w:line="360" w:lineRule="auto"/>
      <w:ind w:firstLine="480" w:firstLineChars="200"/>
    </w:pPr>
    <w:rPr>
      <w:rFonts w:ascii="Times New Roman" w:cs="宋体"/>
      <w:sz w:val="24"/>
    </w:rPr>
  </w:style>
  <w:style w:type="paragraph" w:customStyle="1" w:styleId="53">
    <w:name w:val="正文缩进3"/>
    <w:basedOn w:val="1"/>
    <w:qFormat/>
    <w:uiPriority w:val="0"/>
    <w:pPr>
      <w:autoSpaceDE w:val="0"/>
      <w:autoSpaceDN w:val="0"/>
      <w:adjustRightInd w:val="0"/>
      <w:ind w:firstLine="420"/>
    </w:pPr>
    <w:rPr>
      <w:rFonts w:ascii="Times New Roman"/>
      <w:szCs w:val="21"/>
    </w:rPr>
  </w:style>
  <w:style w:type="paragraph" w:customStyle="1" w:styleId="54">
    <w:name w:val="表格"/>
    <w:basedOn w:val="1"/>
    <w:qFormat/>
    <w:uiPriority w:val="0"/>
    <w:pPr>
      <w:spacing w:line="400" w:lineRule="exact"/>
    </w:pPr>
    <w:rPr>
      <w:rFonts w:ascii="Times New Roman"/>
      <w:sz w:val="24"/>
    </w:rPr>
  </w:style>
  <w:style w:type="paragraph" w:styleId="55">
    <w:name w:val="List Paragraph"/>
    <w:basedOn w:val="1"/>
    <w:qFormat/>
    <w:uiPriority w:val="0"/>
    <w:pPr>
      <w:ind w:firstLine="420" w:firstLineChars="200"/>
    </w:pPr>
    <w:rPr>
      <w:rFonts w:ascii="Times New Roman"/>
      <w:sz w:val="18"/>
      <w:szCs w:val="18"/>
    </w:rPr>
  </w:style>
  <w:style w:type="paragraph" w:customStyle="1" w:styleId="56">
    <w:name w:val="Char1 Char Char Char"/>
    <w:basedOn w:val="1"/>
    <w:qFormat/>
    <w:uiPriority w:val="0"/>
    <w:rPr>
      <w:rFonts w:ascii="Times New Roman" w:eastAsia="仿宋_GB2312"/>
      <w:sz w:val="28"/>
    </w:rPr>
  </w:style>
  <w:style w:type="paragraph" w:customStyle="1" w:styleId="57">
    <w:name w:val="正文首行缩进两字符"/>
    <w:basedOn w:val="1"/>
    <w:qFormat/>
    <w:uiPriority w:val="0"/>
    <w:pPr>
      <w:spacing w:line="360" w:lineRule="auto"/>
      <w:ind w:firstLine="200" w:firstLineChars="200"/>
    </w:pPr>
    <w:rPr>
      <w:rFonts w:ascii="Times New Roman"/>
    </w:rPr>
  </w:style>
  <w:style w:type="paragraph" w:customStyle="1" w:styleId="58">
    <w:name w:val="Body Text 22"/>
    <w:basedOn w:val="1"/>
    <w:qFormat/>
    <w:uiPriority w:val="0"/>
    <w:pPr>
      <w:adjustRightInd w:val="0"/>
      <w:spacing w:line="300" w:lineRule="auto"/>
      <w:jc w:val="center"/>
      <w:textAlignment w:val="baseline"/>
    </w:pPr>
    <w:rPr>
      <w:rFonts w:hAnsi="宋体"/>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列出段落1"/>
    <w:basedOn w:val="1"/>
    <w:qFormat/>
    <w:uiPriority w:val="0"/>
    <w:pPr>
      <w:ind w:firstLine="420" w:firstLineChars="200"/>
    </w:pPr>
    <w:rPr>
      <w:rFonts w:ascii="Times New Roman"/>
    </w:rPr>
  </w:style>
  <w:style w:type="paragraph" w:customStyle="1" w:styleId="61">
    <w:name w:val="p0"/>
    <w:basedOn w:val="1"/>
    <w:qFormat/>
    <w:uiPriority w:val="0"/>
    <w:pPr>
      <w:widowControl/>
    </w:pPr>
    <w:rPr>
      <w:rFonts w:ascii="Times New Roman"/>
      <w:szCs w:val="21"/>
    </w:rPr>
  </w:style>
  <w:style w:type="paragraph" w:customStyle="1" w:styleId="62">
    <w:name w:val="左对齐的表内文字1"/>
    <w:basedOn w:val="1"/>
    <w:qFormat/>
    <w:uiPriority w:val="0"/>
    <w:rPr>
      <w:rFonts w:ascii="Times New Roman"/>
    </w:rPr>
  </w:style>
  <w:style w:type="paragraph" w:customStyle="1" w:styleId="6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table" w:customStyle="1" w:styleId="76">
    <w:name w:val="网格型1"/>
    <w:basedOn w:val="21"/>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24</Pages>
  <Words>8486</Words>
  <Characters>8891</Characters>
  <Lines>71</Lines>
  <Paragraphs>20</Paragraphs>
  <TotalTime>112</TotalTime>
  <ScaleCrop>false</ScaleCrop>
  <LinksUpToDate>false</LinksUpToDate>
  <CharactersWithSpaces>9188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2022-05-11T02:47:00Z</dcterms:created>
  <dc:creator>微软用户</dc:creator>
  <cp:lastModifiedBy>Administrator</cp:lastModifiedBy>
  <cp:lastPrinted>2015-08-20T10:29:00Z</cp:lastPrinted>
  <dcterms:modified xsi:type="dcterms:W3CDTF">2022-05-27T14:25:39Z</dcterms:modified>
  <dc:title>招标编号：SCSZ-2013-02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E7558D7948BD46B49D504D1EAC59F27E</vt:lpwstr>
  </property>
</Properties>
</file>