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jc w:val="center"/>
        <w:rPr>
          <w:rFonts w:hAnsi="宋体"/>
          <w:b/>
          <w:sz w:val="18"/>
          <w:szCs w:val="18"/>
        </w:rPr>
      </w:pPr>
    </w:p>
    <w:p>
      <w:pPr>
        <w:snapToGrid w:val="0"/>
        <w:spacing w:line="360" w:lineRule="auto"/>
        <w:jc w:val="center"/>
        <w:rPr>
          <w:rFonts w:hint="eastAsia" w:hAnsi="宋体" w:eastAsia="宋体" w:cs="宋体"/>
          <w:b/>
          <w:bCs/>
          <w:sz w:val="36"/>
          <w:szCs w:val="36"/>
          <w:lang w:eastAsia="zh-CN"/>
        </w:rPr>
      </w:pPr>
      <w:r>
        <w:rPr>
          <w:rFonts w:hint="eastAsia" w:hAnsi="宋体" w:cs="宋体"/>
          <w:b/>
          <w:bCs/>
          <w:sz w:val="36"/>
          <w:szCs w:val="36"/>
          <w:lang w:val="en-US" w:eastAsia="zh-CN"/>
        </w:rPr>
        <w:t>2022年</w:t>
      </w:r>
      <w:r>
        <w:rPr>
          <w:rFonts w:hint="eastAsia" w:hAnsi="宋体" w:cs="宋体"/>
          <w:b/>
          <w:bCs/>
          <w:sz w:val="36"/>
          <w:szCs w:val="36"/>
        </w:rPr>
        <w:t>官网三级测评</w:t>
      </w:r>
      <w:r>
        <w:rPr>
          <w:rFonts w:hint="eastAsia" w:hAnsi="宋体" w:cs="宋体"/>
          <w:b/>
          <w:bCs/>
          <w:sz w:val="36"/>
          <w:szCs w:val="36"/>
          <w:lang w:eastAsia="zh-CN"/>
        </w:rPr>
        <w:t>服务</w:t>
      </w:r>
    </w:p>
    <w:p>
      <w:pPr>
        <w:snapToGrid w:val="0"/>
        <w:spacing w:line="360" w:lineRule="auto"/>
        <w:jc w:val="center"/>
        <w:rPr>
          <w:rFonts w:hint="default" w:hAnsi="宋体" w:eastAsia="宋体" w:cs="宋体"/>
          <w:bCs/>
          <w:sz w:val="30"/>
          <w:szCs w:val="30"/>
          <w:lang w:val="en-US" w:eastAsia="zh-CN"/>
        </w:rPr>
      </w:pPr>
      <w:r>
        <w:rPr>
          <w:rFonts w:hint="eastAsia" w:hAnsi="宋体" w:cs="宋体"/>
          <w:bCs/>
          <w:sz w:val="30"/>
          <w:szCs w:val="30"/>
        </w:rPr>
        <w:t>采购编号：TZY-</w:t>
      </w:r>
      <w:r>
        <w:rPr>
          <w:rFonts w:hint="eastAsia" w:hAnsi="宋体" w:cs="宋体"/>
          <w:bCs/>
          <w:sz w:val="30"/>
          <w:szCs w:val="30"/>
          <w:lang w:val="en-US" w:eastAsia="zh-CN"/>
        </w:rPr>
        <w:t>ZB</w:t>
      </w:r>
      <w:r>
        <w:rPr>
          <w:rFonts w:hAnsi="宋体" w:cs="宋体"/>
          <w:bCs/>
          <w:sz w:val="30"/>
          <w:szCs w:val="30"/>
        </w:rPr>
        <w:t>-</w:t>
      </w:r>
      <w:r>
        <w:rPr>
          <w:rFonts w:hint="eastAsia" w:hAnsi="宋体" w:cs="宋体"/>
          <w:bCs/>
          <w:sz w:val="30"/>
          <w:szCs w:val="30"/>
          <w:lang w:val="en-US" w:eastAsia="zh-CN"/>
        </w:rPr>
        <w:t>2022012</w:t>
      </w:r>
    </w:p>
    <w:p>
      <w:pPr>
        <w:snapToGrid w:val="0"/>
        <w:spacing w:line="360" w:lineRule="auto"/>
        <w:jc w:val="center"/>
        <w:rPr>
          <w:rFonts w:hAnsi="宋体" w:cs="宋体"/>
          <w:b/>
          <w:sz w:val="72"/>
          <w:szCs w:val="72"/>
        </w:rPr>
      </w:pPr>
    </w:p>
    <w:p>
      <w:pPr>
        <w:snapToGrid w:val="0"/>
        <w:spacing w:line="360" w:lineRule="auto"/>
        <w:jc w:val="center"/>
        <w:rPr>
          <w:rFonts w:hAnsi="宋体" w:cs="宋体"/>
          <w:b/>
          <w:sz w:val="72"/>
          <w:szCs w:val="72"/>
        </w:rPr>
      </w:pPr>
      <w:r>
        <w:rPr>
          <w:rFonts w:hint="eastAsia" w:hAnsi="宋体" w:cs="宋体"/>
          <w:b/>
          <w:sz w:val="72"/>
          <w:szCs w:val="72"/>
        </w:rPr>
        <w:t>招</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标</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文</w:t>
      </w:r>
    </w:p>
    <w:p>
      <w:pPr>
        <w:snapToGrid w:val="0"/>
        <w:spacing w:line="360" w:lineRule="auto"/>
        <w:jc w:val="center"/>
        <w:rPr>
          <w:rFonts w:hAnsi="宋体" w:cs="宋体"/>
          <w:b/>
          <w:sz w:val="18"/>
          <w:szCs w:val="18"/>
        </w:rPr>
      </w:pPr>
    </w:p>
    <w:p>
      <w:pPr>
        <w:snapToGrid w:val="0"/>
        <w:spacing w:line="360" w:lineRule="auto"/>
        <w:jc w:val="center"/>
        <w:rPr>
          <w:rFonts w:hAnsi="宋体" w:cs="宋体"/>
          <w:b/>
          <w:sz w:val="52"/>
          <w:szCs w:val="52"/>
        </w:rPr>
      </w:pPr>
      <w:r>
        <w:rPr>
          <w:rFonts w:hint="eastAsia" w:hAnsi="宋体" w:cs="宋体"/>
          <w:b/>
          <w:sz w:val="72"/>
          <w:szCs w:val="72"/>
        </w:rPr>
        <w:t>件</w:t>
      </w:r>
    </w:p>
    <w:p>
      <w:pPr>
        <w:autoSpaceDE w:val="0"/>
        <w:autoSpaceDN w:val="0"/>
        <w:adjustRightInd w:val="0"/>
        <w:snapToGrid w:val="0"/>
        <w:spacing w:line="360" w:lineRule="auto"/>
        <w:jc w:val="center"/>
        <w:rPr>
          <w:rFonts w:cs="宋体"/>
          <w:sz w:val="30"/>
          <w:szCs w:val="30"/>
        </w:rPr>
      </w:pPr>
    </w:p>
    <w:p>
      <w:pPr>
        <w:autoSpaceDE w:val="0"/>
        <w:autoSpaceDN w:val="0"/>
        <w:adjustRightInd w:val="0"/>
        <w:snapToGrid w:val="0"/>
        <w:spacing w:line="360" w:lineRule="auto"/>
        <w:jc w:val="center"/>
        <w:rPr>
          <w:rFonts w:cs="宋体"/>
          <w:sz w:val="30"/>
          <w:szCs w:val="30"/>
        </w:rPr>
      </w:pPr>
      <w:r>
        <w:rPr>
          <w:rFonts w:hint="eastAsia" w:cs="宋体"/>
          <w:sz w:val="30"/>
          <w:szCs w:val="30"/>
        </w:rPr>
        <w:t>采   购   人: 四川铁道职业学院</w:t>
      </w:r>
    </w:p>
    <w:p>
      <w:pPr>
        <w:snapToGrid w:val="0"/>
        <w:spacing w:line="360" w:lineRule="auto"/>
        <w:jc w:val="center"/>
        <w:rPr>
          <w:rFonts w:hAnsi="宋体" w:cs="宋体"/>
          <w:b/>
          <w:sz w:val="30"/>
          <w:szCs w:val="30"/>
        </w:rPr>
      </w:pPr>
    </w:p>
    <w:p>
      <w:pPr>
        <w:snapToGrid w:val="0"/>
        <w:spacing w:line="360" w:lineRule="auto"/>
        <w:jc w:val="center"/>
        <w:rPr>
          <w:rFonts w:hAnsi="宋体" w:cs="宋体"/>
          <w:bCs/>
          <w:sz w:val="30"/>
          <w:szCs w:val="30"/>
        </w:rPr>
      </w:pPr>
      <w:bookmarkStart w:id="0" w:name="_Hlk42504294"/>
      <w:r>
        <w:rPr>
          <w:rFonts w:hint="eastAsia" w:hAnsi="宋体" w:cs="宋体"/>
          <w:bCs/>
          <w:sz w:val="30"/>
          <w:szCs w:val="30"/>
        </w:rPr>
        <w:t>四川·成都</w:t>
      </w:r>
    </w:p>
    <w:p>
      <w:pPr>
        <w:snapToGrid w:val="0"/>
        <w:spacing w:line="360" w:lineRule="auto"/>
        <w:jc w:val="center"/>
        <w:rPr>
          <w:rFonts w:hAnsi="宋体" w:cs="宋体"/>
          <w:bCs/>
          <w:sz w:val="30"/>
          <w:szCs w:val="30"/>
          <w:lang w:val="zh-CN"/>
        </w:rPr>
      </w:pPr>
      <w:r>
        <w:rPr>
          <w:rFonts w:hint="eastAsia" w:hAnsi="宋体" w:cs="宋体"/>
          <w:bCs/>
          <w:sz w:val="30"/>
          <w:szCs w:val="30"/>
        </w:rPr>
        <w:t>2022</w:t>
      </w:r>
      <w:r>
        <w:rPr>
          <w:rFonts w:hint="eastAsia" w:hAnsi="宋体" w:cs="宋体"/>
          <w:bCs/>
          <w:sz w:val="30"/>
          <w:szCs w:val="30"/>
          <w:lang w:val="zh-CN"/>
        </w:rPr>
        <w:t>年</w:t>
      </w:r>
      <w:r>
        <w:rPr>
          <w:rFonts w:hint="eastAsia" w:hAnsi="宋体" w:cs="宋体"/>
          <w:bCs/>
          <w:sz w:val="30"/>
          <w:szCs w:val="30"/>
          <w:lang w:val="en-US" w:eastAsia="zh-CN"/>
        </w:rPr>
        <w:t>06</w:t>
      </w:r>
      <w:r>
        <w:rPr>
          <w:rFonts w:hint="eastAsia" w:hAnsi="宋体" w:cs="宋体"/>
          <w:bCs/>
          <w:sz w:val="30"/>
          <w:szCs w:val="30"/>
          <w:lang w:val="zh-CN"/>
        </w:rPr>
        <w:t>月</w:t>
      </w:r>
      <w:bookmarkStart w:id="1" w:name="_Hlt101843627"/>
      <w:bookmarkEnd w:id="1"/>
      <w:bookmarkStart w:id="2" w:name="_Hlt101233737"/>
      <w:bookmarkEnd w:id="2"/>
    </w:p>
    <w:p>
      <w:pPr>
        <w:snapToGrid w:val="0"/>
        <w:spacing w:line="360" w:lineRule="auto"/>
        <w:jc w:val="center"/>
        <w:rPr>
          <w:rFonts w:hAnsi="宋体" w:cs="宋体"/>
          <w:bCs/>
          <w:sz w:val="30"/>
          <w:szCs w:val="30"/>
          <w:lang w:val="zh-CN"/>
        </w:rPr>
      </w:pPr>
    </w:p>
    <w:p>
      <w:pPr>
        <w:snapToGrid w:val="0"/>
        <w:spacing w:line="360" w:lineRule="auto"/>
        <w:jc w:val="center"/>
        <w:rPr>
          <w:rFonts w:hAnsi="宋体" w:cs="宋体"/>
          <w:bCs/>
          <w:sz w:val="30"/>
          <w:szCs w:val="30"/>
        </w:rPr>
      </w:pPr>
    </w:p>
    <w:p>
      <w:pPr>
        <w:pStyle w:val="3"/>
        <w:snapToGrid w:val="0"/>
        <w:spacing w:before="0" w:after="0" w:line="360" w:lineRule="auto"/>
        <w:jc w:val="center"/>
        <w:rPr>
          <w:rStyle w:val="26"/>
          <w:rFonts w:ascii="宋体" w:hAnsi="宋体" w:cs="宋体"/>
          <w:color w:val="auto"/>
          <w:kern w:val="2"/>
          <w:sz w:val="44"/>
          <w:szCs w:val="44"/>
          <w:u w:val="none"/>
        </w:rPr>
      </w:pPr>
      <w:r>
        <w:rPr>
          <w:rStyle w:val="26"/>
          <w:rFonts w:hint="eastAsia" w:ascii="宋体" w:hAnsi="宋体" w:cs="宋体"/>
          <w:color w:val="auto"/>
          <w:kern w:val="2"/>
          <w:sz w:val="44"/>
          <w:szCs w:val="44"/>
          <w:u w:val="none"/>
        </w:rPr>
        <w:t>目    录</w:t>
      </w:r>
    </w:p>
    <w:p/>
    <w:p>
      <w:pPr>
        <w:pStyle w:val="14"/>
        <w:tabs>
          <w:tab w:val="right" w:leader="dot" w:pos="9175"/>
        </w:tabs>
        <w:snapToGrid w:val="0"/>
        <w:spacing w:line="480" w:lineRule="auto"/>
        <w:ind w:firstLine="652" w:firstLineChars="233"/>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p>
    <w:p>
      <w:pPr>
        <w:pStyle w:val="14"/>
        <w:tabs>
          <w:tab w:val="right" w:leader="dot" w:pos="9175"/>
        </w:tabs>
        <w:snapToGrid w:val="0"/>
        <w:spacing w:line="480" w:lineRule="auto"/>
        <w:ind w:firstLine="792" w:firstLineChars="233"/>
        <w:rPr>
          <w:rFonts w:hAnsi="宋体" w:cs="宋体"/>
          <w:sz w:val="28"/>
          <w:szCs w:val="28"/>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rPr>
        <w:t>3</w:t>
      </w:r>
    </w:p>
    <w:p>
      <w:pPr>
        <w:pStyle w:val="14"/>
        <w:tabs>
          <w:tab w:val="right" w:leader="dot" w:pos="9175"/>
        </w:tabs>
        <w:snapToGrid w:val="0"/>
        <w:spacing w:line="480" w:lineRule="auto"/>
        <w:ind w:firstLine="792" w:firstLineChars="233"/>
        <w:rPr>
          <w:rFonts w:hAnsi="宋体" w:cs="宋体"/>
          <w:sz w:val="28"/>
          <w:szCs w:val="28"/>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rPr>
        <w:t>9</w:t>
      </w:r>
    </w:p>
    <w:p>
      <w:pPr>
        <w:pStyle w:val="14"/>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lang w:val="en-US" w:eastAsia="zh-CN"/>
        </w:rPr>
        <w:t>1</w:t>
      </w:r>
      <w:r>
        <w:rPr>
          <w:rFonts w:hint="eastAsia" w:hAnsi="宋体" w:cs="宋体"/>
          <w:sz w:val="28"/>
          <w:szCs w:val="28"/>
        </w:rPr>
        <w:fldChar w:fldCharType="end"/>
      </w:r>
      <w:r>
        <w:rPr>
          <w:rFonts w:hint="eastAsia" w:hAnsi="宋体" w:cs="宋体"/>
          <w:sz w:val="28"/>
          <w:szCs w:val="28"/>
          <w:lang w:val="en-US" w:eastAsia="zh-CN"/>
        </w:rPr>
        <w:t>8</w:t>
      </w:r>
    </w:p>
    <w:p>
      <w:pPr>
        <w:pStyle w:val="14"/>
        <w:tabs>
          <w:tab w:val="right" w:leader="dot" w:pos="9175"/>
        </w:tabs>
        <w:snapToGrid w:val="0"/>
        <w:spacing w:line="480" w:lineRule="auto"/>
        <w:ind w:firstLine="792" w:firstLineChars="233"/>
        <w:rPr>
          <w:rFonts w:hAnsi="宋体" w:cs="宋体"/>
          <w:sz w:val="28"/>
          <w:szCs w:val="28"/>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3" w:name="_Hlt360036319"/>
      <w:bookmarkStart w:id="4" w:name="_Hlt360036320"/>
      <w:r>
        <w:rPr>
          <w:rFonts w:hint="eastAsia" w:hAnsi="宋体" w:cs="宋体"/>
          <w:sz w:val="28"/>
          <w:szCs w:val="28"/>
        </w:rPr>
        <w:tab/>
      </w:r>
      <w:bookmarkEnd w:id="3"/>
      <w:bookmarkEnd w:id="4"/>
      <w:r>
        <w:rPr>
          <w:rFonts w:hint="eastAsia" w:hAnsi="宋体" w:cs="宋体"/>
          <w:sz w:val="28"/>
          <w:szCs w:val="28"/>
        </w:rPr>
        <w:fldChar w:fldCharType="end"/>
      </w:r>
      <w:r>
        <w:rPr>
          <w:rFonts w:hint="eastAsia"/>
        </w:rPr>
        <w:t>31</w:t>
      </w:r>
      <w:bookmarkStart w:id="106" w:name="_GoBack"/>
      <w:bookmarkEnd w:id="106"/>
    </w:p>
    <w:p>
      <w:pPr>
        <w:pStyle w:val="14"/>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rPr>
        <w:t>3</w:t>
      </w:r>
      <w:r>
        <w:rPr>
          <w:rFonts w:hint="eastAsia"/>
          <w:lang w:val="en-US" w:eastAsia="zh-CN"/>
        </w:rPr>
        <w:t>5</w:t>
      </w:r>
    </w:p>
    <w:p>
      <w:pPr>
        <w:pStyle w:val="14"/>
        <w:tabs>
          <w:tab w:val="right" w:leader="dot" w:pos="9175"/>
        </w:tabs>
        <w:snapToGrid w:val="0"/>
        <w:spacing w:line="480" w:lineRule="auto"/>
        <w:ind w:firstLine="652" w:firstLineChars="233"/>
        <w:rPr>
          <w:rFonts w:hAnsi="宋体" w:cs="宋体"/>
          <w:sz w:val="28"/>
          <w:szCs w:val="28"/>
        </w:rPr>
        <w:sectPr>
          <w:headerReference r:id="rId3" w:type="default"/>
          <w:footerReference r:id="rId4" w:type="default"/>
          <w:type w:val="nextColumn"/>
          <w:pgSz w:w="11907" w:h="16840"/>
          <w:pgMar w:top="1440" w:right="1080" w:bottom="1440" w:left="1080" w:header="851" w:footer="992" w:gutter="0"/>
          <w:cols w:space="720" w:num="1"/>
          <w:docGrid w:linePitch="312" w:charSpace="0"/>
        </w:sectPr>
      </w:pPr>
      <w:r>
        <w:rPr>
          <w:rFonts w:hint="eastAsia" w:hAnsi="宋体" w:cs="宋体"/>
          <w:sz w:val="28"/>
          <w:szCs w:val="28"/>
        </w:rPr>
        <w:fldChar w:fldCharType="end"/>
      </w:r>
    </w:p>
    <w:p>
      <w:pPr>
        <w:pStyle w:val="2"/>
        <w:snapToGrid w:val="0"/>
        <w:spacing w:before="0" w:after="0" w:line="360" w:lineRule="auto"/>
        <w:jc w:val="center"/>
        <w:rPr>
          <w:rFonts w:hAnsi="宋体" w:cs="宋体"/>
          <w:sz w:val="30"/>
          <w:szCs w:val="30"/>
        </w:rPr>
      </w:pPr>
      <w:bookmarkStart w:id="5" w:name="_Toc358883241"/>
      <w:r>
        <w:rPr>
          <w:rFonts w:hint="eastAsia" w:hAnsi="宋体" w:cs="宋体"/>
          <w:sz w:val="30"/>
          <w:szCs w:val="30"/>
        </w:rPr>
        <w:t>第一章  投标邀请</w:t>
      </w:r>
      <w:bookmarkEnd w:id="5"/>
    </w:p>
    <w:p>
      <w:pPr>
        <w:snapToGrid w:val="0"/>
        <w:ind w:firstLine="720" w:firstLineChars="300"/>
        <w:rPr>
          <w:rFonts w:ascii="仿宋_GB2312" w:hAnsi="宋体" w:eastAsia="仿宋_GB2312"/>
          <w:sz w:val="28"/>
        </w:rPr>
      </w:pPr>
      <w:r>
        <w:rPr>
          <w:rFonts w:hint="eastAsia" w:hAnsi="宋体" w:cs="宋体"/>
          <w:bCs/>
          <w:sz w:val="24"/>
          <w:szCs w:val="24"/>
          <w:u w:val="single"/>
        </w:rPr>
        <w:t xml:space="preserve">  四川铁道职业学院</w:t>
      </w:r>
      <w:r>
        <w:rPr>
          <w:rFonts w:hint="eastAsia" w:hAnsi="宋体" w:cs="宋体"/>
          <w:bCs/>
          <w:sz w:val="24"/>
          <w:szCs w:val="24"/>
        </w:rPr>
        <w:t>就</w:t>
      </w:r>
      <w:r>
        <w:rPr>
          <w:rFonts w:hint="eastAsia" w:hAnsi="宋体" w:cs="宋体"/>
          <w:bCs/>
          <w:sz w:val="24"/>
          <w:szCs w:val="24"/>
          <w:u w:val="single"/>
          <w:lang w:val="en-US" w:eastAsia="zh-CN"/>
        </w:rPr>
        <w:t>2022年官网三级测评服务</w:t>
      </w:r>
      <w:r>
        <w:rPr>
          <w:rFonts w:hint="eastAsia" w:hAnsi="宋体" w:cs="宋体"/>
          <w:bCs/>
          <w:sz w:val="24"/>
          <w:szCs w:val="24"/>
        </w:rPr>
        <w:t>项目进行公开招标，兹邀请符合本次招标要求的供应商参加投标</w:t>
      </w:r>
      <w:r>
        <w:rPr>
          <w:rFonts w:hint="eastAsia" w:hAnsi="宋体" w:cs="宋体"/>
          <w:sz w:val="24"/>
          <w:szCs w:val="24"/>
        </w:rPr>
        <w:t>。</w:t>
      </w:r>
    </w:p>
    <w:p>
      <w:pPr>
        <w:pStyle w:val="8"/>
        <w:snapToGrid w:val="0"/>
        <w:spacing w:line="360" w:lineRule="auto"/>
        <w:ind w:firstLine="441" w:firstLineChars="183"/>
        <w:rPr>
          <w:rFonts w:ascii="宋体" w:hAnsi="宋体" w:cs="宋体"/>
          <w:sz w:val="24"/>
          <w:szCs w:val="24"/>
        </w:rPr>
      </w:pPr>
      <w:r>
        <w:rPr>
          <w:rFonts w:hint="eastAsia" w:ascii="宋体" w:hAnsi="宋体" w:cs="宋体"/>
          <w:b/>
          <w:sz w:val="24"/>
          <w:szCs w:val="24"/>
        </w:rPr>
        <w:t>一、招标编号：</w:t>
      </w:r>
    </w:p>
    <w:p>
      <w:pPr>
        <w:pStyle w:val="8"/>
        <w:snapToGrid w:val="0"/>
        <w:spacing w:line="360" w:lineRule="auto"/>
        <w:ind w:firstLine="441" w:firstLineChars="183"/>
        <w:rPr>
          <w:rFonts w:hint="eastAsia" w:ascii="宋体" w:hAnsi="宋体" w:eastAsia="宋体" w:cs="宋体"/>
          <w:sz w:val="24"/>
          <w:szCs w:val="24"/>
          <w:lang w:val="zh-CN" w:eastAsia="zh-CN"/>
        </w:rPr>
      </w:pPr>
      <w:r>
        <w:rPr>
          <w:rFonts w:hint="eastAsia" w:ascii="宋体" w:hAnsi="宋体" w:cs="宋体"/>
          <w:b/>
          <w:sz w:val="24"/>
          <w:szCs w:val="24"/>
        </w:rPr>
        <w:t>二、招标项目：</w:t>
      </w:r>
      <w:r>
        <w:rPr>
          <w:rFonts w:hint="eastAsia" w:ascii="宋体" w:hAnsi="宋体" w:cs="宋体"/>
          <w:b/>
          <w:sz w:val="24"/>
          <w:szCs w:val="24"/>
          <w:u w:val="single"/>
          <w:lang w:val="en-US" w:eastAsia="zh-CN"/>
        </w:rPr>
        <w:t>2022年</w:t>
      </w:r>
      <w:r>
        <w:rPr>
          <w:rFonts w:hint="eastAsia" w:ascii="宋体" w:hAnsi="宋体" w:cs="宋体"/>
          <w:b/>
          <w:sz w:val="24"/>
          <w:szCs w:val="24"/>
          <w:u w:val="single"/>
        </w:rPr>
        <w:t>官网三级测评</w:t>
      </w:r>
      <w:r>
        <w:rPr>
          <w:rFonts w:hint="eastAsia" w:ascii="宋体" w:hAnsi="宋体" w:cs="宋体"/>
          <w:b/>
          <w:sz w:val="24"/>
          <w:szCs w:val="24"/>
          <w:u w:val="single"/>
          <w:lang w:eastAsia="zh-CN"/>
        </w:rPr>
        <w:t>服务</w:t>
      </w:r>
    </w:p>
    <w:p>
      <w:pPr>
        <w:pStyle w:val="8"/>
        <w:snapToGrid w:val="0"/>
        <w:spacing w:line="360" w:lineRule="auto"/>
        <w:ind w:firstLine="441" w:firstLineChars="183"/>
        <w:rPr>
          <w:rFonts w:ascii="宋体" w:hAnsi="宋体" w:cs="宋体"/>
          <w:b/>
          <w:sz w:val="24"/>
          <w:szCs w:val="24"/>
        </w:rPr>
      </w:pPr>
      <w:r>
        <w:rPr>
          <w:rFonts w:hint="eastAsia" w:ascii="宋体" w:hAnsi="宋体" w:cs="宋体"/>
          <w:b/>
          <w:sz w:val="24"/>
          <w:szCs w:val="24"/>
        </w:rPr>
        <w:t>三、资金来源：</w:t>
      </w:r>
      <w:r>
        <w:rPr>
          <w:rFonts w:hint="eastAsia" w:hAnsi="宋体" w:cs="宋体"/>
          <w:bCs/>
          <w:sz w:val="24"/>
          <w:szCs w:val="24"/>
        </w:rPr>
        <w:t>财政资金</w:t>
      </w:r>
    </w:p>
    <w:p>
      <w:pPr>
        <w:pStyle w:val="8"/>
        <w:snapToGrid w:val="0"/>
        <w:spacing w:line="360" w:lineRule="auto"/>
        <w:ind w:firstLine="441" w:firstLineChars="183"/>
        <w:rPr>
          <w:rFonts w:ascii="宋体" w:hAnsi="宋体" w:cs="宋体"/>
          <w:b/>
          <w:sz w:val="24"/>
          <w:szCs w:val="24"/>
        </w:rPr>
      </w:pPr>
      <w:r>
        <w:rPr>
          <w:rFonts w:hint="eastAsia" w:ascii="宋体" w:hAnsi="宋体" w:cs="宋体"/>
          <w:b/>
          <w:sz w:val="24"/>
          <w:szCs w:val="24"/>
        </w:rPr>
        <w:t>四、招标项目简介：</w:t>
      </w:r>
    </w:p>
    <w:p>
      <w:pPr>
        <w:snapToGrid w:val="0"/>
        <w:spacing w:line="360" w:lineRule="auto"/>
        <w:ind w:firstLine="1000" w:firstLineChars="417"/>
        <w:rPr>
          <w:rFonts w:hAnsi="宋体" w:cs="宋体"/>
          <w:sz w:val="24"/>
          <w:szCs w:val="24"/>
        </w:rPr>
      </w:pPr>
      <w:r>
        <w:rPr>
          <w:rFonts w:hint="eastAsia" w:hAnsi="宋体" w:cs="宋体"/>
          <w:sz w:val="24"/>
          <w:szCs w:val="24"/>
        </w:rPr>
        <w:t>详见第四章</w:t>
      </w:r>
    </w:p>
    <w:p>
      <w:pPr>
        <w:pStyle w:val="8"/>
        <w:snapToGrid w:val="0"/>
        <w:spacing w:line="360" w:lineRule="auto"/>
        <w:ind w:firstLine="441" w:firstLineChars="183"/>
        <w:rPr>
          <w:rFonts w:ascii="宋体" w:hAnsi="宋体" w:cs="宋体"/>
          <w:b/>
          <w:sz w:val="24"/>
          <w:szCs w:val="24"/>
        </w:rPr>
      </w:pPr>
      <w:r>
        <w:rPr>
          <w:rFonts w:hint="eastAsia" w:ascii="宋体" w:hAnsi="宋体" w:cs="宋体"/>
          <w:b/>
          <w:sz w:val="24"/>
          <w:szCs w:val="24"/>
        </w:rPr>
        <w:t>五、供应商参加本次政府采购活动应具备下列条件：</w:t>
      </w:r>
    </w:p>
    <w:p>
      <w:pPr>
        <w:snapToGrid w:val="0"/>
        <w:spacing w:line="360" w:lineRule="auto"/>
        <w:ind w:firstLine="480" w:firstLineChars="200"/>
        <w:rPr>
          <w:rFonts w:hAnsi="宋体" w:cs="宋体"/>
          <w:sz w:val="24"/>
          <w:szCs w:val="24"/>
        </w:rPr>
      </w:pPr>
      <w:r>
        <w:rPr>
          <w:rFonts w:hint="eastAsia" w:hAnsi="宋体" w:cs="宋体"/>
          <w:sz w:val="24"/>
          <w:szCs w:val="24"/>
        </w:rPr>
        <w:t>投标人必须符合《政府采购法》第二十二条要求，且满足以下条件：</w:t>
      </w:r>
    </w:p>
    <w:p>
      <w:pPr>
        <w:snapToGrid w:val="0"/>
        <w:spacing w:line="360" w:lineRule="auto"/>
        <w:ind w:firstLine="480" w:firstLineChars="200"/>
        <w:rPr>
          <w:rFonts w:hAnsi="宋体" w:cs="宋体"/>
          <w:sz w:val="24"/>
          <w:szCs w:val="24"/>
        </w:rPr>
      </w:pPr>
      <w:r>
        <w:rPr>
          <w:rFonts w:hAnsi="宋体" w:cs="宋体"/>
          <w:sz w:val="24"/>
          <w:szCs w:val="24"/>
        </w:rPr>
        <w:t>1</w:t>
      </w:r>
      <w:r>
        <w:rPr>
          <w:rFonts w:hint="eastAsia" w:hAnsi="宋体" w:cs="宋体"/>
          <w:sz w:val="24"/>
          <w:szCs w:val="24"/>
        </w:rPr>
        <w:t>、投标人应为在中华人民共和国境内注册取得营业执照和税务登记证的独立法人；具有良好的商业信誉和健全的财务会计制度；具有履行合同所必需的设备和专业技术能力；有依法缴纳税收和社会保障资金的良好记录；企业法人营业执照已通过本年度年审；且所投产品在其经营范围内。</w:t>
      </w:r>
    </w:p>
    <w:p>
      <w:pPr>
        <w:snapToGrid w:val="0"/>
        <w:spacing w:line="360" w:lineRule="auto"/>
        <w:ind w:firstLine="480" w:firstLineChars="200"/>
        <w:rPr>
          <w:rFonts w:hAnsi="宋体" w:cs="宋体"/>
          <w:sz w:val="24"/>
          <w:szCs w:val="24"/>
        </w:rPr>
      </w:pPr>
      <w:r>
        <w:rPr>
          <w:rFonts w:hint="eastAsia" w:hAnsi="宋体" w:cs="宋体"/>
          <w:sz w:val="24"/>
          <w:szCs w:val="24"/>
        </w:rPr>
        <w:t>2、投标人不是制造商的，应提供制造商针对本项目的授权。</w:t>
      </w:r>
    </w:p>
    <w:p>
      <w:pPr>
        <w:snapToGrid w:val="0"/>
        <w:spacing w:line="360" w:lineRule="auto"/>
        <w:ind w:firstLine="480" w:firstLineChars="200"/>
        <w:rPr>
          <w:rFonts w:hAnsi="宋体" w:cs="宋体"/>
          <w:b/>
          <w:bCs/>
          <w:sz w:val="24"/>
          <w:szCs w:val="24"/>
        </w:rPr>
      </w:pPr>
      <w:r>
        <w:rPr>
          <w:rFonts w:hint="eastAsia" w:hAnsi="宋体" w:cs="宋体"/>
          <w:sz w:val="24"/>
          <w:szCs w:val="24"/>
        </w:rPr>
        <w:t>3、具有良好的商业信誉和健全的财务会计制度，参加政府采购活动前三年内未被列入“信用中国”网站(www.creditchina.gov.cn )失信被执行人、重大税收违法案件当事人、政府采购严重违法失信行为记录名单和“中国政府采购”网站（www.ccgp.gov.cn）政府采购严重违法失信行为记录名单（以递交文件截止当日查询结果为准）。</w:t>
      </w:r>
    </w:p>
    <w:p>
      <w:pPr>
        <w:snapToGrid w:val="0"/>
        <w:spacing w:line="360" w:lineRule="auto"/>
        <w:ind w:firstLine="480" w:firstLineChars="200"/>
        <w:rPr>
          <w:rFonts w:hAnsi="宋体" w:cs="宋体"/>
          <w:sz w:val="24"/>
          <w:szCs w:val="24"/>
        </w:rPr>
      </w:pPr>
      <w:r>
        <w:rPr>
          <w:rFonts w:hint="eastAsia" w:hAnsi="宋体" w:cs="宋体"/>
          <w:sz w:val="24"/>
          <w:szCs w:val="24"/>
        </w:rPr>
        <w:t>4、投标人应遵守有关的国家法律、法令、条例和有关招标制度。一旦参加投标，则应承担相关法律责任。</w:t>
      </w:r>
    </w:p>
    <w:p>
      <w:pPr>
        <w:snapToGrid w:val="0"/>
        <w:spacing w:line="360" w:lineRule="auto"/>
        <w:ind w:firstLine="479" w:firstLineChars="199"/>
        <w:rPr>
          <w:rFonts w:hAnsi="宋体" w:cs="宋体"/>
          <w:sz w:val="24"/>
          <w:szCs w:val="24"/>
        </w:rPr>
      </w:pPr>
      <w:r>
        <w:rPr>
          <w:rFonts w:hint="eastAsia" w:hAnsi="宋体" w:cs="宋体"/>
          <w:b/>
          <w:sz w:val="24"/>
          <w:szCs w:val="24"/>
        </w:rPr>
        <w:t>六、投标截止时间和开标时间：</w:t>
      </w:r>
      <w:r>
        <w:rPr>
          <w:rFonts w:hint="eastAsia" w:hAnsi="宋体" w:cs="宋体"/>
          <w:b/>
          <w:sz w:val="24"/>
          <w:szCs w:val="24"/>
          <w:lang w:val="en-US" w:eastAsia="zh-CN"/>
        </w:rPr>
        <w:t>2022</w:t>
      </w:r>
      <w:r>
        <w:rPr>
          <w:rFonts w:hint="eastAsia" w:hAnsi="宋体" w:cs="宋体"/>
          <w:bCs/>
          <w:sz w:val="24"/>
          <w:szCs w:val="24"/>
        </w:rPr>
        <w:t>年</w:t>
      </w:r>
      <w:r>
        <w:rPr>
          <w:rFonts w:hint="eastAsia" w:hAnsi="宋体" w:cs="宋体"/>
          <w:bCs/>
          <w:sz w:val="24"/>
          <w:szCs w:val="24"/>
          <w:lang w:val="en-US" w:eastAsia="zh-CN"/>
        </w:rPr>
        <w:t>06</w:t>
      </w:r>
      <w:r>
        <w:rPr>
          <w:rFonts w:hint="eastAsia" w:hAnsi="宋体" w:cs="宋体"/>
          <w:bCs/>
          <w:sz w:val="24"/>
          <w:szCs w:val="24"/>
        </w:rPr>
        <w:t>月</w:t>
      </w:r>
      <w:r>
        <w:rPr>
          <w:rFonts w:hint="eastAsia" w:hAnsi="宋体" w:cs="宋体"/>
          <w:bCs/>
          <w:sz w:val="24"/>
          <w:szCs w:val="24"/>
          <w:lang w:val="en-US" w:eastAsia="zh-CN"/>
        </w:rPr>
        <w:t>21</w:t>
      </w:r>
      <w:r>
        <w:rPr>
          <w:rFonts w:hint="eastAsia" w:hAnsi="宋体" w:cs="宋体"/>
          <w:bCs/>
          <w:sz w:val="24"/>
          <w:szCs w:val="24"/>
        </w:rPr>
        <w:t>日</w:t>
      </w:r>
      <w:r>
        <w:rPr>
          <w:rFonts w:hint="eastAsia" w:hAnsi="宋体" w:cs="宋体"/>
          <w:bCs/>
          <w:sz w:val="24"/>
          <w:szCs w:val="24"/>
          <w:lang w:val="en-US" w:eastAsia="zh-CN"/>
        </w:rPr>
        <w:t>10:00</w:t>
      </w:r>
      <w:r>
        <w:rPr>
          <w:rFonts w:hAnsi="宋体" w:cs="宋体"/>
          <w:bCs/>
          <w:sz w:val="24"/>
          <w:szCs w:val="24"/>
        </w:rPr>
        <w:t xml:space="preserve"> </w:t>
      </w:r>
      <w:r>
        <w:rPr>
          <w:rFonts w:hint="eastAsia" w:hAnsi="宋体" w:cs="宋体"/>
          <w:sz w:val="24"/>
          <w:szCs w:val="24"/>
        </w:rPr>
        <w:t>（北京时间）。</w:t>
      </w:r>
    </w:p>
    <w:p>
      <w:pPr>
        <w:pStyle w:val="8"/>
        <w:snapToGrid w:val="0"/>
        <w:spacing w:line="360" w:lineRule="auto"/>
        <w:ind w:firstLine="439" w:firstLineChars="183"/>
        <w:rPr>
          <w:rFonts w:ascii="宋体" w:hAnsi="宋体" w:cs="宋体"/>
          <w:sz w:val="24"/>
          <w:szCs w:val="24"/>
        </w:rPr>
      </w:pPr>
      <w:r>
        <w:rPr>
          <w:rFonts w:hint="eastAsia" w:ascii="宋体" w:hAnsi="宋体" w:cs="宋体"/>
          <w:sz w:val="24"/>
          <w:szCs w:val="24"/>
        </w:rPr>
        <w:t>投标文件必须在投标截止时间前送达开标地点，并签到（签到地点：</w:t>
      </w:r>
      <w:r>
        <w:rPr>
          <w:rFonts w:hint="eastAsia" w:hAnsi="宋体" w:cs="宋体"/>
          <w:sz w:val="24"/>
        </w:rPr>
        <w:t>四川成都郫县安德镇彭温路399号</w:t>
      </w:r>
      <w:r>
        <w:rPr>
          <w:rFonts w:hint="eastAsia" w:hAnsi="宋体" w:cs="宋体"/>
          <w:sz w:val="24"/>
          <w:lang w:eastAsia="zh-CN"/>
        </w:rPr>
        <w:t>后勤基建办公区</w:t>
      </w:r>
      <w:r>
        <w:rPr>
          <w:rFonts w:hint="eastAsia" w:hAnsi="宋体" w:cs="宋体"/>
          <w:sz w:val="24"/>
          <w:lang w:val="en-US" w:eastAsia="zh-CN"/>
        </w:rPr>
        <w:t>2F评标室</w:t>
      </w:r>
      <w:r>
        <w:rPr>
          <w:rFonts w:hint="eastAsia" w:ascii="宋体" w:hAnsi="宋体" w:cs="宋体"/>
          <w:sz w:val="24"/>
          <w:szCs w:val="24"/>
        </w:rPr>
        <w:t>），若不签到的投标文件将被拒收，投标人自行承担一切后果。逾期送达或密封和标注不符合招标文件规定的投标文件恕不接受。本次招标不接受邮寄的投标文件。</w:t>
      </w:r>
    </w:p>
    <w:p>
      <w:pPr>
        <w:pStyle w:val="8"/>
        <w:snapToGrid w:val="0"/>
        <w:spacing w:line="360" w:lineRule="auto"/>
        <w:ind w:firstLine="439" w:firstLineChars="183"/>
        <w:rPr>
          <w:rFonts w:ascii="宋体" w:hAnsi="宋体" w:cs="宋体"/>
          <w:sz w:val="24"/>
          <w:szCs w:val="24"/>
        </w:rPr>
      </w:pPr>
      <w:r>
        <w:rPr>
          <w:rFonts w:hint="eastAsia" w:ascii="宋体" w:hAnsi="宋体" w:cs="宋体"/>
          <w:sz w:val="24"/>
          <w:szCs w:val="24"/>
        </w:rPr>
        <w:t>特别说明：因疫情期间，为保证安全，请前来投标的商家戴好口罩，准备健康二维码，服从学校管理，做好个人防护。</w:t>
      </w:r>
    </w:p>
    <w:p>
      <w:pPr>
        <w:pStyle w:val="8"/>
        <w:snapToGrid w:val="0"/>
        <w:spacing w:line="360" w:lineRule="auto"/>
        <w:ind w:firstLine="482" w:firstLineChars="200"/>
        <w:rPr>
          <w:rFonts w:hint="default" w:ascii="宋体" w:hAnsi="宋体" w:eastAsia="宋体" w:cs="宋体"/>
          <w:sz w:val="24"/>
          <w:szCs w:val="24"/>
          <w:lang w:val="en-US" w:eastAsia="zh-CN"/>
        </w:rPr>
      </w:pPr>
      <w:r>
        <w:rPr>
          <w:rFonts w:hint="eastAsia" w:hAnsi="宋体" w:cs="宋体"/>
          <w:b/>
          <w:bCs/>
          <w:sz w:val="24"/>
          <w:szCs w:val="24"/>
        </w:rPr>
        <w:t>七</w:t>
      </w:r>
      <w:r>
        <w:rPr>
          <w:rFonts w:hint="eastAsia" w:ascii="宋体" w:hAnsi="宋体" w:cs="宋体"/>
          <w:b/>
          <w:bCs/>
          <w:sz w:val="24"/>
          <w:szCs w:val="24"/>
        </w:rPr>
        <w:t>、</w:t>
      </w:r>
      <w:r>
        <w:rPr>
          <w:rFonts w:hint="eastAsia" w:ascii="宋体" w:hAnsi="宋体" w:cs="宋体"/>
          <w:b/>
          <w:kern w:val="0"/>
          <w:sz w:val="24"/>
          <w:szCs w:val="24"/>
        </w:rPr>
        <w:t>递交投标文件及开标地点</w:t>
      </w:r>
      <w:r>
        <w:rPr>
          <w:rFonts w:hint="eastAsia" w:ascii="宋体" w:hAnsi="宋体" w:cs="宋体"/>
          <w:sz w:val="24"/>
          <w:szCs w:val="24"/>
        </w:rPr>
        <w:t>：</w:t>
      </w:r>
      <w:r>
        <w:rPr>
          <w:rFonts w:hint="eastAsia" w:hAnsi="宋体" w:cs="宋体"/>
          <w:sz w:val="24"/>
        </w:rPr>
        <w:t>四川成都郫县安德镇彭温路399号</w:t>
      </w:r>
      <w:r>
        <w:rPr>
          <w:rFonts w:hint="eastAsia" w:hAnsi="宋体" w:cs="宋体"/>
          <w:sz w:val="24"/>
          <w:lang w:eastAsia="zh-CN"/>
        </w:rPr>
        <w:t>后勤基建办公区</w:t>
      </w:r>
      <w:r>
        <w:rPr>
          <w:rFonts w:hint="eastAsia" w:hAnsi="宋体" w:cs="宋体"/>
          <w:sz w:val="24"/>
          <w:lang w:val="en-US" w:eastAsia="zh-CN"/>
        </w:rPr>
        <w:t>2F评标室</w:t>
      </w:r>
    </w:p>
    <w:p>
      <w:pPr>
        <w:pStyle w:val="73"/>
        <w:snapToGrid w:val="0"/>
        <w:ind w:firstLine="479" w:firstLineChars="199"/>
        <w:rPr>
          <w:rFonts w:hAnsi="宋体" w:cs="宋体"/>
          <w:b/>
          <w:sz w:val="24"/>
          <w:szCs w:val="24"/>
        </w:rPr>
      </w:pPr>
      <w:r>
        <w:rPr>
          <w:rFonts w:hint="eastAsia" w:hAnsi="宋体" w:cs="宋体"/>
          <w:b/>
          <w:sz w:val="24"/>
          <w:szCs w:val="24"/>
        </w:rPr>
        <w:t>八、联系方式</w:t>
      </w:r>
    </w:p>
    <w:p>
      <w:pPr>
        <w:pStyle w:val="73"/>
        <w:snapToGrid w:val="0"/>
        <w:ind w:firstLine="950" w:firstLineChars="396"/>
        <w:rPr>
          <w:rFonts w:hAnsi="宋体" w:cs="宋体"/>
          <w:snapToGrid w:val="0"/>
          <w:sz w:val="24"/>
        </w:rPr>
      </w:pPr>
      <w:r>
        <w:rPr>
          <w:rFonts w:hint="eastAsia" w:hAnsi="宋体" w:cs="宋体"/>
          <w:snapToGrid w:val="0"/>
          <w:sz w:val="24"/>
        </w:rPr>
        <w:t>采购人：四川铁道职业学院</w:t>
      </w:r>
    </w:p>
    <w:p>
      <w:pPr>
        <w:pStyle w:val="73"/>
        <w:snapToGrid w:val="0"/>
        <w:ind w:firstLine="919" w:firstLineChars="383"/>
        <w:rPr>
          <w:rFonts w:hAnsi="宋体" w:cs="宋体"/>
          <w:sz w:val="24"/>
          <w:highlight w:val="yellow"/>
        </w:rPr>
      </w:pPr>
      <w:r>
        <w:rPr>
          <w:rFonts w:hint="eastAsia" w:hAnsi="宋体" w:cs="宋体"/>
          <w:bCs/>
          <w:sz w:val="24"/>
        </w:rPr>
        <w:t>地址：</w:t>
      </w:r>
      <w:r>
        <w:rPr>
          <w:rFonts w:hint="eastAsia" w:hAnsi="宋体" w:cs="宋体"/>
          <w:sz w:val="24"/>
        </w:rPr>
        <w:t>四川成都郫县安德镇彭温路399号</w:t>
      </w:r>
    </w:p>
    <w:p>
      <w:pPr>
        <w:pStyle w:val="73"/>
        <w:snapToGrid w:val="0"/>
        <w:ind w:firstLine="919" w:firstLineChars="383"/>
        <w:rPr>
          <w:rFonts w:hAnsi="宋体" w:cs="宋体"/>
          <w:sz w:val="24"/>
        </w:rPr>
      </w:pPr>
      <w:r>
        <w:rPr>
          <w:rFonts w:hint="eastAsia" w:hAnsi="宋体" w:cs="宋体"/>
          <w:sz w:val="24"/>
        </w:rPr>
        <w:t>联系人：贺老师   李老师</w:t>
      </w:r>
    </w:p>
    <w:p>
      <w:pPr>
        <w:pStyle w:val="73"/>
        <w:snapToGrid w:val="0"/>
        <w:ind w:firstLine="919" w:firstLineChars="383"/>
        <w:rPr>
          <w:rFonts w:hAnsi="宋体" w:cs="宋体"/>
          <w:sz w:val="24"/>
        </w:rPr>
      </w:pPr>
      <w:r>
        <w:rPr>
          <w:rFonts w:hint="eastAsia" w:hAnsi="宋体" w:cs="宋体"/>
          <w:sz w:val="24"/>
        </w:rPr>
        <w:t>联系电话：028-</w:t>
      </w:r>
      <w:r>
        <w:rPr>
          <w:rFonts w:hAnsi="宋体" w:cs="宋体"/>
          <w:sz w:val="24"/>
        </w:rPr>
        <w:t>68939969</w:t>
      </w:r>
    </w:p>
    <w:p>
      <w:pPr>
        <w:pStyle w:val="73"/>
        <w:snapToGrid w:val="0"/>
        <w:ind w:firstLine="919" w:firstLineChars="383"/>
        <w:rPr>
          <w:rFonts w:hAnsi="宋体"/>
          <w:sz w:val="24"/>
          <w:szCs w:val="28"/>
        </w:rPr>
      </w:pPr>
      <w:r>
        <w:rPr>
          <w:rFonts w:hint="eastAsia" w:hAnsi="宋体" w:cs="宋体"/>
          <w:sz w:val="24"/>
        </w:rPr>
        <w:t xml:space="preserve">          028-689399</w:t>
      </w:r>
      <w:r>
        <w:rPr>
          <w:rFonts w:hAnsi="宋体" w:cs="宋体"/>
          <w:sz w:val="24"/>
        </w:rPr>
        <w:t>19</w:t>
      </w:r>
    </w:p>
    <w:p>
      <w:pPr>
        <w:pStyle w:val="18"/>
        <w:snapToGrid w:val="0"/>
        <w:spacing w:before="0" w:beforeAutospacing="0" w:after="0" w:afterAutospacing="0" w:line="360" w:lineRule="auto"/>
        <w:ind w:right="480"/>
        <w:rPr>
          <w:rFonts w:cs="宋体"/>
          <w:sz w:val="24"/>
          <w:szCs w:val="24"/>
        </w:rPr>
        <w:sectPr>
          <w:footerReference r:id="rId5" w:type="default"/>
          <w:pgSz w:w="11907" w:h="16840"/>
          <w:pgMar w:top="1440" w:right="1080" w:bottom="1440" w:left="1080" w:header="851" w:footer="992" w:gutter="0"/>
          <w:pgNumType w:start="1"/>
          <w:cols w:space="720" w:num="1"/>
          <w:docGrid w:linePitch="312" w:charSpace="0"/>
        </w:sectPr>
      </w:pPr>
    </w:p>
    <w:p>
      <w:pPr>
        <w:pStyle w:val="2"/>
        <w:snapToGrid w:val="0"/>
        <w:spacing w:before="0" w:after="0" w:line="360" w:lineRule="auto"/>
        <w:jc w:val="center"/>
        <w:rPr>
          <w:rFonts w:hAnsi="宋体" w:cs="宋体"/>
          <w:sz w:val="30"/>
          <w:szCs w:val="30"/>
        </w:rPr>
      </w:pPr>
      <w:bookmarkStart w:id="6" w:name="_Toc217446031"/>
      <w:bookmarkStart w:id="7" w:name="_Toc213496267"/>
      <w:bookmarkStart w:id="8" w:name="_Toc358883242"/>
      <w:bookmarkStart w:id="9" w:name="_Toc213397009"/>
      <w:bookmarkStart w:id="10" w:name="_Toc213396759"/>
      <w:bookmarkStart w:id="11" w:name="_Toc213396945"/>
      <w:r>
        <w:rPr>
          <w:rFonts w:hint="eastAsia" w:hAnsi="宋体" w:cs="宋体"/>
          <w:sz w:val="30"/>
          <w:szCs w:val="30"/>
        </w:rPr>
        <w:t>第二章  投标人须知</w:t>
      </w:r>
      <w:bookmarkEnd w:id="6"/>
      <w:bookmarkEnd w:id="7"/>
      <w:bookmarkEnd w:id="8"/>
      <w:bookmarkEnd w:id="9"/>
      <w:bookmarkEnd w:id="10"/>
      <w:bookmarkEnd w:id="11"/>
    </w:p>
    <w:p>
      <w:pPr>
        <w:pStyle w:val="3"/>
        <w:snapToGrid w:val="0"/>
        <w:spacing w:before="0" w:after="0" w:line="360" w:lineRule="auto"/>
        <w:jc w:val="center"/>
        <w:rPr>
          <w:rFonts w:ascii="宋体" w:hAnsi="宋体" w:eastAsia="宋体" w:cs="宋体"/>
          <w:sz w:val="30"/>
          <w:szCs w:val="30"/>
        </w:rPr>
      </w:pPr>
      <w:bookmarkStart w:id="12" w:name="_Toc217446032"/>
      <w:bookmarkStart w:id="13" w:name="_Toc213396760"/>
      <w:bookmarkStart w:id="14" w:name="_Toc213496268"/>
      <w:bookmarkStart w:id="15" w:name="_Toc213396946"/>
      <w:bookmarkStart w:id="16" w:name="_Toc213397010"/>
      <w:bookmarkStart w:id="17" w:name="_Toc189727030"/>
      <w:r>
        <w:rPr>
          <w:rFonts w:hint="eastAsia" w:ascii="宋体" w:hAnsi="宋体" w:eastAsia="宋体" w:cs="宋体"/>
          <w:sz w:val="30"/>
          <w:szCs w:val="30"/>
        </w:rPr>
        <w:t>一、投标人须知附表</w:t>
      </w:r>
      <w:bookmarkEnd w:id="12"/>
      <w:bookmarkEnd w:id="13"/>
      <w:bookmarkEnd w:id="14"/>
      <w:bookmarkEnd w:id="15"/>
      <w:bookmarkEnd w:id="16"/>
      <w:bookmarkEnd w:id="17"/>
    </w:p>
    <w:tbl>
      <w:tblPr>
        <w:tblStyle w:val="20"/>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758"/>
        <w:gridCol w:w="7087"/>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59"/>
              <w:snapToGrid w:val="0"/>
              <w:spacing w:line="360" w:lineRule="auto"/>
              <w:jc w:val="center"/>
              <w:rPr>
                <w:lang w:val="zh-CN"/>
              </w:rPr>
            </w:pPr>
            <w:r>
              <w:rPr>
                <w:rFonts w:hint="eastAsia"/>
                <w:lang w:val="zh-CN"/>
              </w:rPr>
              <w:t xml:space="preserve">序号 </w:t>
            </w:r>
          </w:p>
        </w:tc>
        <w:tc>
          <w:tcPr>
            <w:tcW w:w="1758" w:type="dxa"/>
            <w:vAlign w:val="center"/>
          </w:tcPr>
          <w:p>
            <w:pPr>
              <w:pStyle w:val="59"/>
              <w:snapToGrid w:val="0"/>
              <w:spacing w:line="360" w:lineRule="auto"/>
              <w:jc w:val="center"/>
              <w:rPr>
                <w:lang w:val="zh-CN"/>
              </w:rPr>
            </w:pPr>
            <w:r>
              <w:rPr>
                <w:rFonts w:hint="eastAsia"/>
                <w:lang w:val="zh-CN"/>
              </w:rPr>
              <w:t xml:space="preserve">应知事项 </w:t>
            </w:r>
          </w:p>
        </w:tc>
        <w:tc>
          <w:tcPr>
            <w:tcW w:w="7087" w:type="dxa"/>
            <w:vAlign w:val="center"/>
          </w:tcPr>
          <w:p>
            <w:pPr>
              <w:pStyle w:val="59"/>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54" w:hRule="exact"/>
          <w:jc w:val="center"/>
        </w:trPr>
        <w:tc>
          <w:tcPr>
            <w:tcW w:w="771" w:type="dxa"/>
            <w:vAlign w:val="center"/>
          </w:tcPr>
          <w:p>
            <w:pPr>
              <w:pStyle w:val="59"/>
              <w:snapToGrid w:val="0"/>
              <w:spacing w:line="360" w:lineRule="auto"/>
              <w:jc w:val="center"/>
            </w:pPr>
            <w:r>
              <w:rPr>
                <w:rFonts w:hint="eastAsia"/>
              </w:rPr>
              <w:t>1</w:t>
            </w:r>
          </w:p>
        </w:tc>
        <w:tc>
          <w:tcPr>
            <w:tcW w:w="1758" w:type="dxa"/>
            <w:vAlign w:val="center"/>
          </w:tcPr>
          <w:p>
            <w:pPr>
              <w:pStyle w:val="59"/>
              <w:snapToGrid w:val="0"/>
              <w:spacing w:line="360" w:lineRule="auto"/>
              <w:jc w:val="center"/>
              <w:rPr>
                <w:lang w:val="zh-CN"/>
              </w:rPr>
            </w:pPr>
            <w:r>
              <w:rPr>
                <w:rFonts w:hint="eastAsia"/>
                <w:lang w:val="zh-CN"/>
              </w:rPr>
              <w:t>采购人</w:t>
            </w:r>
          </w:p>
        </w:tc>
        <w:tc>
          <w:tcPr>
            <w:tcW w:w="7087" w:type="dxa"/>
            <w:vAlign w:val="center"/>
          </w:tcPr>
          <w:p>
            <w:pPr>
              <w:pStyle w:val="73"/>
              <w:snapToGrid w:val="0"/>
              <w:ind w:firstLine="228" w:firstLineChars="95"/>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59"/>
              <w:snapToGrid w:val="0"/>
              <w:spacing w:line="360" w:lineRule="auto"/>
              <w:ind w:firstLine="240" w:firstLineChars="100"/>
              <w:rPr>
                <w:lang w:val="zh-CN"/>
              </w:rPr>
            </w:pPr>
            <w:r>
              <w:rPr>
                <w:rFonts w:hint="eastAsia"/>
                <w:lang w:val="zh-CN"/>
              </w:rPr>
              <w:t>地    址：</w:t>
            </w:r>
            <w:r>
              <w:rPr>
                <w:rFonts w:hint="eastAsia"/>
              </w:rPr>
              <w:t>四川成都郫县安德镇彭温路399号</w:t>
            </w:r>
          </w:p>
          <w:p>
            <w:pPr>
              <w:pStyle w:val="59"/>
              <w:snapToGrid w:val="0"/>
              <w:spacing w:line="360" w:lineRule="auto"/>
              <w:ind w:firstLine="240" w:firstLineChars="100"/>
            </w:pPr>
            <w:r>
              <w:rPr>
                <w:rFonts w:hint="eastAsia"/>
                <w:lang w:val="zh-CN"/>
              </w:rPr>
              <w:t>联 系 人：</w:t>
            </w:r>
            <w:r>
              <w:rPr>
                <w:rFonts w:hint="eastAsia"/>
              </w:rPr>
              <w:t>贺老师</w:t>
            </w:r>
            <w:r>
              <w:rPr>
                <w:rFonts w:hint="eastAsia"/>
                <w:lang w:eastAsia="zh-CN"/>
              </w:rPr>
              <w:t>、李老师</w:t>
            </w:r>
            <w:r>
              <w:rPr>
                <w:rFonts w:hint="eastAsia"/>
              </w:rPr>
              <w:t xml:space="preserve">  </w:t>
            </w:r>
          </w:p>
          <w:p>
            <w:pPr>
              <w:pStyle w:val="59"/>
              <w:snapToGrid w:val="0"/>
              <w:spacing w:line="360" w:lineRule="auto"/>
              <w:ind w:firstLine="240" w:firstLineChars="100"/>
              <w:rPr>
                <w:rFonts w:hint="default" w:eastAsia="宋体"/>
                <w:lang w:val="en-US" w:eastAsia="zh-CN"/>
              </w:rPr>
            </w:pPr>
            <w:r>
              <w:rPr>
                <w:rFonts w:hint="eastAsia"/>
                <w:lang w:val="zh-CN"/>
              </w:rPr>
              <w:t>联系电话：</w:t>
            </w:r>
            <w:r>
              <w:rPr>
                <w:rFonts w:hint="eastAsia"/>
              </w:rPr>
              <w:t>028-</w:t>
            </w:r>
            <w:r>
              <w:t>68939969</w:t>
            </w:r>
            <w:r>
              <w:rPr>
                <w:rFonts w:hint="eastAsia"/>
                <w:lang w:val="en-US" w:eastAsia="zh-CN"/>
              </w:rPr>
              <w:t xml:space="preserve">  </w:t>
            </w:r>
            <w:r>
              <w:rPr>
                <w:rFonts w:hint="eastAsia" w:hAnsi="宋体" w:cs="宋体"/>
                <w:sz w:val="24"/>
              </w:rPr>
              <w:t>689399</w:t>
            </w:r>
            <w:r>
              <w:rPr>
                <w:rFonts w:hAnsi="宋体" w:cs="宋体"/>
                <w:sz w:val="24"/>
              </w:rPr>
              <w:t>19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pPr>
            <w:r>
              <w:rPr>
                <w:rFonts w:hint="eastAsia"/>
              </w:rPr>
              <w:t>2</w:t>
            </w:r>
          </w:p>
        </w:tc>
        <w:tc>
          <w:tcPr>
            <w:tcW w:w="1758" w:type="dxa"/>
            <w:vAlign w:val="center"/>
          </w:tcPr>
          <w:p>
            <w:pPr>
              <w:pStyle w:val="59"/>
              <w:snapToGrid w:val="0"/>
              <w:spacing w:line="360" w:lineRule="auto"/>
              <w:ind w:firstLine="240" w:firstLineChars="100"/>
              <w:jc w:val="center"/>
              <w:rPr>
                <w:lang w:val="zh-CN"/>
              </w:rPr>
            </w:pPr>
            <w:r>
              <w:rPr>
                <w:rFonts w:hint="eastAsia"/>
                <w:lang w:val="zh-CN"/>
              </w:rPr>
              <w:t>项目名称</w:t>
            </w:r>
          </w:p>
        </w:tc>
        <w:tc>
          <w:tcPr>
            <w:tcW w:w="7087" w:type="dxa"/>
            <w:vAlign w:val="center"/>
          </w:tcPr>
          <w:p>
            <w:pPr>
              <w:pStyle w:val="59"/>
              <w:snapToGrid w:val="0"/>
              <w:spacing w:line="360" w:lineRule="auto"/>
              <w:ind w:firstLine="120" w:firstLineChars="50"/>
              <w:rPr>
                <w:lang w:val="zh-CN"/>
              </w:rPr>
            </w:pPr>
            <w:r>
              <w:rPr>
                <w:rFonts w:hint="eastAsia"/>
                <w:lang w:val="en-US" w:eastAsia="zh-CN"/>
              </w:rPr>
              <w:t>2022年</w:t>
            </w:r>
            <w:r>
              <w:rPr>
                <w:rFonts w:hint="eastAsia"/>
                <w:lang w:val="zh-CN"/>
              </w:rPr>
              <w:t>官网三级测评服务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59"/>
              <w:snapToGrid w:val="0"/>
              <w:spacing w:line="360" w:lineRule="auto"/>
              <w:jc w:val="center"/>
            </w:pPr>
            <w:r>
              <w:rPr>
                <w:rFonts w:hint="eastAsia"/>
              </w:rPr>
              <w:t>3</w:t>
            </w:r>
          </w:p>
        </w:tc>
        <w:tc>
          <w:tcPr>
            <w:tcW w:w="1758" w:type="dxa"/>
            <w:vAlign w:val="center"/>
          </w:tcPr>
          <w:p>
            <w:pPr>
              <w:pStyle w:val="59"/>
              <w:snapToGrid w:val="0"/>
              <w:spacing w:line="360" w:lineRule="auto"/>
              <w:ind w:firstLine="240" w:firstLineChars="100"/>
              <w:jc w:val="center"/>
              <w:rPr>
                <w:lang w:val="zh-CN"/>
              </w:rPr>
            </w:pPr>
            <w:r>
              <w:rPr>
                <w:rFonts w:hint="eastAsia"/>
                <w:lang w:val="zh-CN"/>
              </w:rPr>
              <w:t>招标编号</w:t>
            </w:r>
          </w:p>
        </w:tc>
        <w:tc>
          <w:tcPr>
            <w:tcW w:w="7087" w:type="dxa"/>
            <w:vAlign w:val="center"/>
          </w:tcPr>
          <w:p>
            <w:pPr>
              <w:pStyle w:val="59"/>
              <w:snapToGrid w:val="0"/>
              <w:spacing w:line="360" w:lineRule="auto"/>
              <w:rPr>
                <w:rFonts w:hint="default" w:eastAsia="宋体"/>
                <w:lang w:val="en-US" w:eastAsia="zh-CN"/>
              </w:rPr>
            </w:pPr>
            <w:r>
              <w:rPr>
                <w:rFonts w:hint="eastAsia"/>
                <w:lang w:val="en-US" w:eastAsia="zh-CN"/>
              </w:rPr>
              <w:t>TZY-ZB-2022012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pPr>
            <w:r>
              <w:rPr>
                <w:rFonts w:hint="eastAsia"/>
              </w:rPr>
              <w:t>4</w:t>
            </w:r>
          </w:p>
        </w:tc>
        <w:tc>
          <w:tcPr>
            <w:tcW w:w="1758" w:type="dxa"/>
            <w:vAlign w:val="center"/>
          </w:tcPr>
          <w:p>
            <w:pPr>
              <w:pStyle w:val="59"/>
              <w:snapToGrid w:val="0"/>
              <w:spacing w:line="360" w:lineRule="auto"/>
              <w:ind w:firstLine="240" w:firstLineChars="100"/>
              <w:jc w:val="center"/>
              <w:rPr>
                <w:lang w:val="zh-CN"/>
              </w:rPr>
            </w:pPr>
            <w:r>
              <w:rPr>
                <w:rFonts w:hint="eastAsia"/>
                <w:lang w:val="zh-CN"/>
              </w:rPr>
              <w:t>资金来源</w:t>
            </w:r>
          </w:p>
        </w:tc>
        <w:tc>
          <w:tcPr>
            <w:tcW w:w="7087" w:type="dxa"/>
            <w:vAlign w:val="center"/>
          </w:tcPr>
          <w:p>
            <w:pPr>
              <w:pStyle w:val="59"/>
              <w:snapToGrid w:val="0"/>
              <w:spacing w:line="360" w:lineRule="auto"/>
              <w:ind w:firstLine="240" w:firstLineChars="100"/>
              <w:rPr>
                <w:lang w:val="zh-CN"/>
              </w:rPr>
            </w:pPr>
            <w:r>
              <w:rPr>
                <w:rFonts w:hint="eastAsia"/>
                <w:lang w:val="zh-CN"/>
              </w:rPr>
              <w:t>财政资金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5</w:t>
            </w:r>
          </w:p>
        </w:tc>
        <w:tc>
          <w:tcPr>
            <w:tcW w:w="1758" w:type="dxa"/>
            <w:vAlign w:val="center"/>
          </w:tcPr>
          <w:p>
            <w:pPr>
              <w:pStyle w:val="59"/>
              <w:snapToGrid w:val="0"/>
              <w:spacing w:line="360" w:lineRule="auto"/>
              <w:ind w:firstLine="240" w:firstLineChars="100"/>
              <w:jc w:val="center"/>
              <w:rPr>
                <w:lang w:val="zh-CN"/>
              </w:rPr>
            </w:pPr>
            <w:r>
              <w:rPr>
                <w:rFonts w:hint="eastAsia"/>
                <w:lang w:val="zh-CN"/>
              </w:rPr>
              <w:t>预算金额</w:t>
            </w:r>
          </w:p>
        </w:tc>
        <w:tc>
          <w:tcPr>
            <w:tcW w:w="7087" w:type="dxa"/>
            <w:vAlign w:val="center"/>
          </w:tcPr>
          <w:p>
            <w:pPr>
              <w:pStyle w:val="59"/>
              <w:snapToGrid w:val="0"/>
              <w:spacing w:line="360" w:lineRule="auto"/>
              <w:ind w:firstLine="240" w:firstLineChars="100"/>
              <w:rPr>
                <w:lang w:val="zh-CN"/>
              </w:rPr>
            </w:pPr>
            <w:r>
              <w:t>13.5万元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59"/>
              <w:snapToGrid w:val="0"/>
              <w:spacing w:line="360" w:lineRule="auto"/>
              <w:jc w:val="center"/>
            </w:pPr>
            <w:r>
              <w:rPr>
                <w:rFonts w:hint="eastAsia"/>
              </w:rPr>
              <w:t>6</w:t>
            </w:r>
          </w:p>
        </w:tc>
        <w:tc>
          <w:tcPr>
            <w:tcW w:w="1758" w:type="dxa"/>
            <w:vAlign w:val="center"/>
          </w:tcPr>
          <w:p>
            <w:pPr>
              <w:pStyle w:val="59"/>
              <w:snapToGrid w:val="0"/>
              <w:spacing w:line="360" w:lineRule="auto"/>
              <w:jc w:val="center"/>
              <w:rPr>
                <w:lang w:val="zh-CN"/>
              </w:rPr>
            </w:pPr>
            <w:r>
              <w:rPr>
                <w:rFonts w:hint="eastAsia"/>
                <w:lang w:val="zh-CN"/>
              </w:rPr>
              <w:t>构成招标文件的其他文件</w:t>
            </w:r>
          </w:p>
        </w:tc>
        <w:tc>
          <w:tcPr>
            <w:tcW w:w="7087" w:type="dxa"/>
            <w:vAlign w:val="center"/>
          </w:tcPr>
          <w:p>
            <w:pPr>
              <w:pStyle w:val="59"/>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7</w:t>
            </w:r>
          </w:p>
        </w:tc>
        <w:tc>
          <w:tcPr>
            <w:tcW w:w="1758" w:type="dxa"/>
            <w:vAlign w:val="center"/>
          </w:tcPr>
          <w:p>
            <w:pPr>
              <w:pStyle w:val="59"/>
              <w:snapToGrid w:val="0"/>
              <w:spacing w:line="360" w:lineRule="auto"/>
              <w:ind w:firstLine="240" w:firstLineChars="100"/>
              <w:jc w:val="center"/>
              <w:rPr>
                <w:lang w:val="zh-CN"/>
              </w:rPr>
            </w:pPr>
            <w:r>
              <w:rPr>
                <w:rFonts w:hint="eastAsia"/>
                <w:lang w:val="zh-CN"/>
              </w:rPr>
              <w:t>采购方式</w:t>
            </w:r>
          </w:p>
        </w:tc>
        <w:tc>
          <w:tcPr>
            <w:tcW w:w="7087" w:type="dxa"/>
            <w:vAlign w:val="center"/>
          </w:tcPr>
          <w:p>
            <w:pPr>
              <w:pStyle w:val="59"/>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8</w:t>
            </w:r>
          </w:p>
        </w:tc>
        <w:tc>
          <w:tcPr>
            <w:tcW w:w="1758" w:type="dxa"/>
            <w:vAlign w:val="center"/>
          </w:tcPr>
          <w:p>
            <w:pPr>
              <w:pStyle w:val="59"/>
              <w:snapToGrid w:val="0"/>
              <w:spacing w:line="360" w:lineRule="auto"/>
              <w:ind w:firstLine="240" w:firstLineChars="100"/>
              <w:jc w:val="center"/>
              <w:rPr>
                <w:lang w:val="zh-CN"/>
              </w:rPr>
            </w:pPr>
            <w:r>
              <w:rPr>
                <w:rFonts w:hint="eastAsia"/>
                <w:lang w:val="zh-CN"/>
              </w:rPr>
              <w:t>评标方法</w:t>
            </w:r>
          </w:p>
        </w:tc>
        <w:tc>
          <w:tcPr>
            <w:tcW w:w="7087" w:type="dxa"/>
            <w:vAlign w:val="center"/>
          </w:tcPr>
          <w:p>
            <w:pPr>
              <w:pStyle w:val="59"/>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9</w:t>
            </w:r>
          </w:p>
        </w:tc>
        <w:tc>
          <w:tcPr>
            <w:tcW w:w="1758"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投标有效期</w:t>
            </w:r>
          </w:p>
        </w:tc>
        <w:tc>
          <w:tcPr>
            <w:tcW w:w="7087"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10</w:t>
            </w:r>
          </w:p>
        </w:tc>
        <w:tc>
          <w:tcPr>
            <w:tcW w:w="1758"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投标文件份数</w:t>
            </w:r>
          </w:p>
        </w:tc>
        <w:tc>
          <w:tcPr>
            <w:tcW w:w="7087"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11</w:t>
            </w:r>
          </w:p>
        </w:tc>
        <w:tc>
          <w:tcPr>
            <w:tcW w:w="1758"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装订要求</w:t>
            </w:r>
          </w:p>
        </w:tc>
        <w:tc>
          <w:tcPr>
            <w:tcW w:w="7087"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12</w:t>
            </w:r>
          </w:p>
        </w:tc>
        <w:tc>
          <w:tcPr>
            <w:tcW w:w="1758"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投标文件、投标报价表的包装和密封</w:t>
            </w:r>
          </w:p>
        </w:tc>
        <w:tc>
          <w:tcPr>
            <w:tcW w:w="7087"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13</w:t>
            </w:r>
          </w:p>
        </w:tc>
        <w:tc>
          <w:tcPr>
            <w:tcW w:w="1758"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投标文件递交</w:t>
            </w:r>
          </w:p>
        </w:tc>
        <w:tc>
          <w:tcPr>
            <w:tcW w:w="7087"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rPr>
                <w:lang w:val="zh-CN"/>
              </w:rPr>
            </w:pPr>
            <w:r>
              <w:rPr>
                <w:rFonts w:hint="eastAsia"/>
                <w:lang w:val="zh-CN"/>
              </w:rPr>
              <w:t>a.时间和地点详见 “投标邀请”;</w:t>
            </w:r>
          </w:p>
          <w:p>
            <w:pPr>
              <w:pStyle w:val="59"/>
              <w:snapToGrid w:val="0"/>
              <w:spacing w:line="360" w:lineRule="auto"/>
              <w:rPr>
                <w:lang w:val="zh-CN"/>
              </w:rPr>
            </w:pPr>
            <w:r>
              <w:rPr>
                <w:rFonts w:hint="eastAsia"/>
                <w:lang w:val="zh-CN"/>
              </w:rPr>
              <w:t>b.采购人在招标文件规定的时间和地点组织开标，投标人代表人执有效身份证参加。</w:t>
            </w:r>
          </w:p>
          <w:p>
            <w:pPr>
              <w:pStyle w:val="59"/>
              <w:snapToGrid w:val="0"/>
              <w:spacing w:line="360" w:lineRule="auto"/>
            </w:pPr>
            <w:r>
              <w:rPr>
                <w:rFonts w:hint="eastAsia"/>
                <w:lang w:val="zh-CN"/>
              </w:rPr>
              <w:t>c.其他要求详见第二章“投标文件”第11条“投标文件的递交”。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14</w:t>
            </w:r>
          </w:p>
        </w:tc>
        <w:tc>
          <w:tcPr>
            <w:tcW w:w="1758"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开标时间、地点</w:t>
            </w:r>
          </w:p>
        </w:tc>
        <w:tc>
          <w:tcPr>
            <w:tcW w:w="7087"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rPr>
                <w:highlight w:val="yellow"/>
                <w:lang w:val="zh-CN"/>
              </w:rPr>
            </w:pPr>
            <w:r>
              <w:rPr>
                <w:rFonts w:hint="eastAsia"/>
                <w:lang w:val="zh-CN"/>
              </w:rPr>
              <w:t>时间：</w:t>
            </w:r>
            <w:r>
              <w:rPr>
                <w:rFonts w:hint="eastAsia"/>
                <w:lang w:val="en-US" w:eastAsia="zh-CN"/>
              </w:rPr>
              <w:t>2022</w:t>
            </w:r>
            <w:r>
              <w:rPr>
                <w:rFonts w:hint="eastAsia"/>
                <w:bCs/>
              </w:rPr>
              <w:t>年</w:t>
            </w:r>
            <w:r>
              <w:rPr>
                <w:rFonts w:hint="eastAsia"/>
                <w:bCs/>
                <w:lang w:val="en-US" w:eastAsia="zh-CN"/>
              </w:rPr>
              <w:t xml:space="preserve"> 06</w:t>
            </w:r>
            <w:r>
              <w:rPr>
                <w:rFonts w:hint="eastAsia"/>
                <w:bCs/>
              </w:rPr>
              <w:t>月</w:t>
            </w:r>
            <w:r>
              <w:rPr>
                <w:rFonts w:hint="eastAsia"/>
                <w:bCs/>
                <w:lang w:val="en-US" w:eastAsia="zh-CN"/>
              </w:rPr>
              <w:t>21</w:t>
            </w:r>
            <w:r>
              <w:rPr>
                <w:rFonts w:hint="eastAsia"/>
                <w:bCs/>
              </w:rPr>
              <w:t>日</w:t>
            </w:r>
            <w:r>
              <w:rPr>
                <w:bCs/>
              </w:rPr>
              <w:t xml:space="preserve"> </w:t>
            </w:r>
            <w:r>
              <w:rPr>
                <w:rFonts w:hint="eastAsia"/>
                <w:bCs/>
                <w:lang w:val="en-US" w:eastAsia="zh-CN"/>
              </w:rPr>
              <w:t>10:00</w:t>
            </w:r>
            <w:r>
              <w:rPr>
                <w:rFonts w:hint="eastAsia"/>
                <w:lang w:val="zh-CN"/>
              </w:rPr>
              <w:t>（北京时间）</w:t>
            </w:r>
          </w:p>
          <w:p>
            <w:pPr>
              <w:pStyle w:val="59"/>
              <w:snapToGrid w:val="0"/>
              <w:spacing w:line="360" w:lineRule="auto"/>
              <w:ind w:firstLine="240" w:firstLineChars="100"/>
            </w:pPr>
            <w:r>
              <w:rPr>
                <w:rFonts w:hint="eastAsia"/>
                <w:lang w:val="zh-CN"/>
              </w:rPr>
              <w:t>地点：</w:t>
            </w:r>
            <w:r>
              <w:rPr>
                <w:rFonts w:hint="eastAsia"/>
              </w:rPr>
              <w:t>四川成都郫县安德镇彭温路399号</w:t>
            </w:r>
            <w:r>
              <w:rPr>
                <w:rFonts w:hint="eastAsia" w:hAnsi="宋体" w:cs="宋体"/>
                <w:sz w:val="24"/>
                <w:lang w:eastAsia="zh-CN"/>
              </w:rPr>
              <w:t>后勤基建办公区</w:t>
            </w:r>
            <w:r>
              <w:rPr>
                <w:rFonts w:hint="eastAsia" w:hAnsi="宋体" w:cs="宋体"/>
                <w:sz w:val="24"/>
                <w:lang w:val="en-US" w:eastAsia="zh-CN"/>
              </w:rPr>
              <w:t>2F评标室</w:t>
            </w:r>
          </w:p>
        </w:tc>
      </w:tr>
    </w:tbl>
    <w:p>
      <w:pPr>
        <w:snapToGrid w:val="0"/>
        <w:spacing w:line="360" w:lineRule="auto"/>
        <w:rPr>
          <w:rFonts w:hAnsi="宋体" w:cs="宋体"/>
          <w:bCs/>
          <w:sz w:val="30"/>
          <w:szCs w:val="30"/>
        </w:rPr>
      </w:pPr>
    </w:p>
    <w:p>
      <w:pPr>
        <w:pStyle w:val="3"/>
        <w:snapToGrid w:val="0"/>
        <w:spacing w:before="0" w:after="0" w:line="360" w:lineRule="auto"/>
        <w:jc w:val="center"/>
        <w:rPr>
          <w:rFonts w:ascii="宋体" w:hAnsi="宋体" w:eastAsia="宋体" w:cs="宋体"/>
          <w:sz w:val="30"/>
          <w:szCs w:val="30"/>
        </w:rPr>
      </w:pPr>
      <w:bookmarkStart w:id="18" w:name="_Toc77400779"/>
      <w:bookmarkStart w:id="19" w:name="_Toc89075875"/>
      <w:bookmarkStart w:id="20" w:name="_Toc217446038"/>
      <w:bookmarkStart w:id="21" w:name="_Toc183582209"/>
      <w:bookmarkStart w:id="22" w:name="_Toc183682346"/>
      <w:r>
        <w:rPr>
          <w:rFonts w:hint="eastAsia" w:ascii="宋体" w:hAnsi="宋体" w:eastAsia="宋体" w:cs="宋体"/>
          <w:sz w:val="30"/>
          <w:szCs w:val="30"/>
        </w:rPr>
        <w:t>二、招标文件</w:t>
      </w:r>
      <w:bookmarkEnd w:id="18"/>
      <w:bookmarkEnd w:id="19"/>
      <w:bookmarkEnd w:id="20"/>
      <w:bookmarkEnd w:id="21"/>
      <w:bookmarkEnd w:id="22"/>
    </w:p>
    <w:p>
      <w:pPr>
        <w:pStyle w:val="4"/>
        <w:snapToGrid w:val="0"/>
        <w:spacing w:before="0" w:after="0" w:line="360" w:lineRule="auto"/>
        <w:ind w:firstLine="161" w:firstLineChars="67"/>
        <w:rPr>
          <w:rFonts w:hAnsi="宋体" w:cs="宋体"/>
          <w:sz w:val="24"/>
          <w:szCs w:val="24"/>
        </w:rPr>
      </w:pPr>
      <w:bookmarkStart w:id="23" w:name="_Toc217446039"/>
      <w:bookmarkStart w:id="24" w:name="_Toc183582210"/>
      <w:bookmarkStart w:id="25" w:name="_Toc183682347"/>
      <w:r>
        <w:rPr>
          <w:rFonts w:hint="eastAsia" w:hAnsi="宋体" w:cs="宋体"/>
          <w:sz w:val="24"/>
          <w:szCs w:val="24"/>
        </w:rPr>
        <w:t>1．招标文件的构成</w:t>
      </w:r>
      <w:bookmarkEnd w:id="23"/>
      <w:bookmarkEnd w:id="24"/>
      <w:bookmarkEnd w:id="25"/>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（四）招标项目技术、商务及其他要求；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4"/>
        <w:snapToGrid w:val="0"/>
        <w:spacing w:before="0" w:after="0" w:line="360" w:lineRule="auto"/>
        <w:ind w:firstLine="161" w:firstLineChars="67"/>
        <w:rPr>
          <w:rFonts w:hAnsi="宋体" w:cs="宋体"/>
          <w:sz w:val="24"/>
          <w:szCs w:val="24"/>
        </w:rPr>
      </w:pPr>
      <w:bookmarkStart w:id="26" w:name="_Toc183582211"/>
      <w:bookmarkStart w:id="27" w:name="_Toc183682348"/>
      <w:bookmarkStart w:id="28" w:name="_Toc217446040"/>
      <w:r>
        <w:rPr>
          <w:rFonts w:hint="eastAsia" w:hAnsi="宋体" w:cs="宋体"/>
          <w:sz w:val="24"/>
          <w:szCs w:val="24"/>
        </w:rPr>
        <w:t>2. 招标文件的澄清</w:t>
      </w:r>
      <w:bookmarkEnd w:id="26"/>
      <w:bookmarkEnd w:id="27"/>
      <w:r>
        <w:rPr>
          <w:rFonts w:hint="eastAsia" w:hAnsi="宋体" w:cs="宋体"/>
          <w:sz w:val="24"/>
          <w:szCs w:val="24"/>
        </w:rPr>
        <w:t>和修改</w:t>
      </w:r>
      <w:bookmarkEnd w:id="28"/>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left="3" w:leftChars="1" w:firstLine="240" w:firstLineChars="1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3"/>
        <w:snapToGrid w:val="0"/>
        <w:spacing w:before="0" w:after="0" w:line="360" w:lineRule="auto"/>
        <w:jc w:val="center"/>
        <w:rPr>
          <w:rFonts w:ascii="宋体" w:hAnsi="宋体" w:eastAsia="宋体" w:cs="宋体"/>
          <w:sz w:val="30"/>
          <w:szCs w:val="30"/>
        </w:rPr>
      </w:pPr>
      <w:bookmarkStart w:id="29" w:name="_Toc183582214"/>
      <w:bookmarkStart w:id="30" w:name="_Toc183682351"/>
      <w:bookmarkStart w:id="31" w:name="_Toc89075876"/>
      <w:bookmarkStart w:id="32" w:name="_Toc77400780"/>
      <w:bookmarkStart w:id="33" w:name="_Toc217446042"/>
      <w:r>
        <w:rPr>
          <w:rFonts w:hint="eastAsia" w:ascii="宋体" w:hAnsi="宋体" w:eastAsia="宋体" w:cs="宋体"/>
          <w:sz w:val="30"/>
          <w:szCs w:val="30"/>
        </w:rPr>
        <w:t>三、投标文件</w:t>
      </w:r>
      <w:bookmarkEnd w:id="29"/>
      <w:bookmarkEnd w:id="30"/>
      <w:bookmarkEnd w:id="31"/>
      <w:bookmarkEnd w:id="32"/>
      <w:bookmarkEnd w:id="33"/>
    </w:p>
    <w:p>
      <w:pPr>
        <w:pStyle w:val="4"/>
        <w:snapToGrid w:val="0"/>
        <w:spacing w:before="0" w:after="0" w:line="360" w:lineRule="auto"/>
        <w:ind w:firstLine="161" w:firstLineChars="67"/>
        <w:rPr>
          <w:rFonts w:hAnsi="宋体" w:cs="宋体"/>
          <w:sz w:val="24"/>
          <w:szCs w:val="24"/>
        </w:rPr>
      </w:pPr>
      <w:bookmarkStart w:id="34" w:name="_Toc183682352"/>
      <w:bookmarkStart w:id="35" w:name="_Toc217446043"/>
      <w:bookmarkStart w:id="36" w:name="_Toc183582215"/>
      <w:r>
        <w:rPr>
          <w:rFonts w:hint="eastAsia" w:hAnsi="宋体" w:cs="宋体"/>
          <w:sz w:val="24"/>
          <w:szCs w:val="24"/>
        </w:rPr>
        <w:t>3．投标文件的语言</w:t>
      </w:r>
      <w:bookmarkEnd w:id="34"/>
      <w:bookmarkEnd w:id="35"/>
      <w:bookmarkEnd w:id="36"/>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4"/>
        <w:snapToGrid w:val="0"/>
        <w:spacing w:before="0" w:after="0" w:line="360" w:lineRule="auto"/>
        <w:ind w:firstLine="161" w:firstLineChars="67"/>
        <w:rPr>
          <w:rFonts w:hAnsi="宋体" w:cs="宋体"/>
          <w:sz w:val="24"/>
          <w:szCs w:val="24"/>
        </w:rPr>
      </w:pPr>
      <w:bookmarkStart w:id="37" w:name="_Toc217446045"/>
      <w:r>
        <w:rPr>
          <w:rFonts w:hint="eastAsia" w:hAnsi="宋体" w:cs="宋体"/>
          <w:sz w:val="24"/>
          <w:szCs w:val="24"/>
        </w:rPr>
        <w:t>4. 投标货币</w:t>
      </w:r>
      <w:bookmarkEnd w:id="37"/>
    </w:p>
    <w:p>
      <w:pPr>
        <w:tabs>
          <w:tab w:val="left" w:pos="7665"/>
        </w:tabs>
        <w:snapToGrid w:val="0"/>
        <w:spacing w:line="360" w:lineRule="auto"/>
        <w:ind w:hanging="118"/>
        <w:rPr>
          <w:rFonts w:hAnsi="宋体" w:cs="宋体"/>
          <w:sz w:val="24"/>
          <w:szCs w:val="24"/>
        </w:rPr>
      </w:pPr>
      <w:r>
        <w:rPr>
          <w:rFonts w:hint="eastAsia" w:hAnsi="宋体" w:cs="宋体"/>
          <w:sz w:val="24"/>
          <w:szCs w:val="24"/>
        </w:rPr>
        <w:t>本次招标项目的投标均以人民币报价。</w:t>
      </w:r>
    </w:p>
    <w:p>
      <w:pPr>
        <w:pStyle w:val="4"/>
        <w:snapToGrid w:val="0"/>
        <w:spacing w:before="0" w:after="0" w:line="360" w:lineRule="auto"/>
        <w:ind w:firstLine="161" w:firstLineChars="67"/>
        <w:rPr>
          <w:rFonts w:hAnsi="宋体" w:cs="宋体"/>
          <w:sz w:val="24"/>
          <w:szCs w:val="24"/>
        </w:rPr>
      </w:pPr>
      <w:bookmarkStart w:id="38" w:name="_Toc217446047"/>
      <w:r>
        <w:rPr>
          <w:rFonts w:hint="eastAsia" w:hAnsi="宋体" w:cs="宋体"/>
          <w:sz w:val="24"/>
          <w:szCs w:val="24"/>
        </w:rPr>
        <w:t>5. 知识产权</w:t>
      </w:r>
      <w:bookmarkEnd w:id="38"/>
    </w:p>
    <w:p>
      <w:pPr>
        <w:pStyle w:val="8"/>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8"/>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.2 采购人享有本项目实施过程中产生的知识成果及知识产权。</w:t>
      </w:r>
    </w:p>
    <w:p>
      <w:pPr>
        <w:pStyle w:val="4"/>
        <w:snapToGrid w:val="0"/>
        <w:spacing w:before="0" w:after="0" w:line="360" w:lineRule="auto"/>
        <w:ind w:firstLine="161" w:firstLineChars="67"/>
        <w:rPr>
          <w:rFonts w:hAnsi="宋体" w:cs="宋体"/>
          <w:sz w:val="24"/>
          <w:szCs w:val="24"/>
        </w:rPr>
      </w:pPr>
      <w:bookmarkStart w:id="39" w:name="_Toc183682354"/>
      <w:bookmarkStart w:id="40" w:name="_Toc217446048"/>
      <w:bookmarkStart w:id="41" w:name="_Toc183582217"/>
      <w:bookmarkStart w:id="42" w:name="_Toc217446093"/>
      <w:bookmarkStart w:id="43" w:name="_Toc358883246"/>
      <w:r>
        <w:rPr>
          <w:rFonts w:hint="eastAsia" w:hAnsi="宋体" w:cs="宋体"/>
          <w:sz w:val="24"/>
          <w:szCs w:val="24"/>
        </w:rPr>
        <w:t>6．投标文件的组成</w:t>
      </w:r>
      <w:bookmarkEnd w:id="39"/>
      <w:bookmarkEnd w:id="40"/>
      <w:bookmarkEnd w:id="41"/>
      <w:bookmarkStart w:id="44" w:name="_Toc217446049"/>
      <w:bookmarkStart w:id="45" w:name="_Toc183682355"/>
      <w:bookmarkStart w:id="46" w:name="_Toc183582218"/>
      <w:r>
        <w:rPr>
          <w:rFonts w:hint="eastAsia" w:hAnsi="宋体" w:cs="宋体"/>
          <w:sz w:val="24"/>
          <w:szCs w:val="24"/>
        </w:rPr>
        <w:t>。</w:t>
      </w:r>
    </w:p>
    <w:p>
      <w:pPr>
        <w:rPr>
          <w:rFonts w:hAnsi="宋体" w:cs="宋体"/>
          <w:kern w:val="2"/>
          <w:sz w:val="24"/>
          <w:szCs w:val="24"/>
        </w:rPr>
      </w:pPr>
      <w:r>
        <w:rPr>
          <w:rFonts w:hint="eastAsia" w:hAnsi="宋体" w:cs="宋体"/>
          <w:kern w:val="2"/>
          <w:sz w:val="24"/>
          <w:szCs w:val="24"/>
        </w:rPr>
        <w:t>投标文件包括：</w:t>
      </w:r>
    </w:p>
    <w:p>
      <w:pPr>
        <w:pStyle w:val="8"/>
        <w:snapToGrid w:val="0"/>
        <w:spacing w:line="360" w:lineRule="auto"/>
        <w:ind w:firstLine="484" w:firstLineChars="202"/>
        <w:rPr>
          <w:rFonts w:ascii="宋体" w:hAnsi="宋体" w:cs="宋体"/>
          <w:sz w:val="24"/>
          <w:szCs w:val="24"/>
        </w:rPr>
      </w:pPr>
      <w:r>
        <w:rPr>
          <w:rFonts w:hint="eastAsia" w:ascii="宋体" w:hAnsi="宋体" w:cs="宋体"/>
          <w:sz w:val="24"/>
          <w:szCs w:val="24"/>
        </w:rPr>
        <w:t>（1） 投标函</w:t>
      </w:r>
    </w:p>
    <w:p>
      <w:pPr>
        <w:pStyle w:val="8"/>
        <w:numPr>
          <w:ilvl w:val="0"/>
          <w:numId w:val="1"/>
        </w:numPr>
        <w:snapToGrid w:val="0"/>
        <w:spacing w:line="360" w:lineRule="auto"/>
        <w:rPr>
          <w:rFonts w:ascii="宋体" w:hAnsi="宋体" w:cs="宋体"/>
          <w:sz w:val="24"/>
          <w:szCs w:val="24"/>
        </w:rPr>
      </w:pPr>
      <w:r>
        <w:rPr>
          <w:rFonts w:hint="eastAsia" w:ascii="宋体" w:hAnsi="宋体" w:cs="宋体"/>
          <w:sz w:val="24"/>
          <w:szCs w:val="24"/>
        </w:rPr>
        <w:t>法定代表人授权书</w:t>
      </w:r>
    </w:p>
    <w:p>
      <w:pPr>
        <w:pStyle w:val="8"/>
        <w:numPr>
          <w:ilvl w:val="0"/>
          <w:numId w:val="1"/>
        </w:numPr>
        <w:snapToGrid w:val="0"/>
        <w:spacing w:line="360" w:lineRule="auto"/>
        <w:rPr>
          <w:rFonts w:ascii="宋体" w:hAnsi="宋体" w:cs="宋体"/>
          <w:sz w:val="24"/>
          <w:szCs w:val="24"/>
        </w:rPr>
      </w:pPr>
      <w:r>
        <w:rPr>
          <w:rFonts w:hint="eastAsia" w:ascii="宋体" w:hAnsi="宋体" w:cs="宋体"/>
          <w:sz w:val="24"/>
          <w:szCs w:val="24"/>
        </w:rPr>
        <w:t>投标报价表</w:t>
      </w:r>
    </w:p>
    <w:p>
      <w:pPr>
        <w:pStyle w:val="8"/>
        <w:numPr>
          <w:ilvl w:val="0"/>
          <w:numId w:val="1"/>
        </w:numPr>
        <w:snapToGrid w:val="0"/>
        <w:spacing w:line="360" w:lineRule="auto"/>
        <w:rPr>
          <w:rFonts w:ascii="宋体" w:hAnsi="宋体" w:cs="宋体"/>
          <w:sz w:val="24"/>
          <w:szCs w:val="24"/>
        </w:rPr>
      </w:pPr>
      <w:r>
        <w:rPr>
          <w:rFonts w:hint="eastAsia" w:ascii="宋体" w:hAnsi="宋体" w:cs="宋体"/>
          <w:sz w:val="24"/>
          <w:szCs w:val="24"/>
        </w:rPr>
        <w:t>分项报价明细表</w:t>
      </w:r>
    </w:p>
    <w:p>
      <w:pPr>
        <w:pStyle w:val="8"/>
        <w:numPr>
          <w:ilvl w:val="0"/>
          <w:numId w:val="2"/>
        </w:numPr>
        <w:snapToGrid w:val="0"/>
        <w:spacing w:line="360" w:lineRule="auto"/>
        <w:rPr>
          <w:rFonts w:ascii="宋体" w:hAnsi="宋体" w:cs="宋体"/>
          <w:sz w:val="24"/>
          <w:szCs w:val="24"/>
        </w:rPr>
      </w:pPr>
      <w:r>
        <w:rPr>
          <w:rFonts w:hint="eastAsia" w:ascii="宋体" w:hAnsi="宋体" w:cs="宋体"/>
          <w:sz w:val="24"/>
          <w:szCs w:val="24"/>
        </w:rPr>
        <w:t>商务应答表</w:t>
      </w:r>
    </w:p>
    <w:p>
      <w:pPr>
        <w:pStyle w:val="8"/>
        <w:numPr>
          <w:ilvl w:val="0"/>
          <w:numId w:val="2"/>
        </w:numPr>
        <w:snapToGrid w:val="0"/>
        <w:spacing w:line="360" w:lineRule="auto"/>
        <w:rPr>
          <w:rFonts w:ascii="宋体" w:hAnsi="宋体" w:cs="宋体"/>
          <w:sz w:val="24"/>
          <w:szCs w:val="24"/>
        </w:rPr>
      </w:pPr>
      <w:r>
        <w:rPr>
          <w:rFonts w:hint="eastAsia" w:ascii="宋体" w:hAnsi="宋体" w:cs="宋体"/>
          <w:sz w:val="24"/>
          <w:szCs w:val="24"/>
        </w:rPr>
        <w:t>投标人近三年类似项目业绩一览表</w:t>
      </w:r>
    </w:p>
    <w:p>
      <w:pPr>
        <w:pStyle w:val="8"/>
        <w:numPr>
          <w:ilvl w:val="0"/>
          <w:numId w:val="2"/>
        </w:numPr>
        <w:snapToGrid w:val="0"/>
        <w:spacing w:line="360" w:lineRule="auto"/>
        <w:rPr>
          <w:rFonts w:ascii="宋体" w:hAnsi="宋体" w:cs="宋体"/>
          <w:sz w:val="24"/>
          <w:szCs w:val="24"/>
        </w:rPr>
      </w:pPr>
      <w:r>
        <w:rPr>
          <w:rFonts w:hint="eastAsia" w:ascii="宋体" w:hAnsi="宋体" w:cs="宋体"/>
          <w:sz w:val="24"/>
          <w:szCs w:val="24"/>
        </w:rPr>
        <w:t>投标人认为有必要补充说明的相关信息</w:t>
      </w:r>
    </w:p>
    <w:p>
      <w:pPr>
        <w:pStyle w:val="4"/>
        <w:snapToGrid w:val="0"/>
        <w:spacing w:before="0" w:after="0" w:line="360" w:lineRule="auto"/>
        <w:ind w:firstLine="161" w:firstLineChars="67"/>
        <w:rPr>
          <w:rFonts w:hAnsi="宋体" w:cs="宋体"/>
          <w:sz w:val="24"/>
          <w:szCs w:val="24"/>
        </w:rPr>
      </w:pPr>
      <w:r>
        <w:rPr>
          <w:rFonts w:hint="eastAsia" w:hAnsi="宋体" w:cs="宋体"/>
          <w:sz w:val="24"/>
          <w:szCs w:val="24"/>
        </w:rPr>
        <w:t>7.</w:t>
      </w:r>
      <w:r>
        <w:rPr>
          <w:rFonts w:hAnsi="宋体" w:cs="宋体"/>
          <w:sz w:val="24"/>
          <w:szCs w:val="24"/>
        </w:rPr>
        <w:t xml:space="preserve"> </w:t>
      </w:r>
      <w:r>
        <w:rPr>
          <w:rFonts w:hint="eastAsia" w:hAnsi="宋体" w:cs="宋体"/>
          <w:sz w:val="24"/>
          <w:szCs w:val="24"/>
        </w:rPr>
        <w:t>投标文件的说明。</w:t>
      </w:r>
    </w:p>
    <w:p>
      <w:pPr>
        <w:pStyle w:val="8"/>
        <w:snapToGrid w:val="0"/>
        <w:spacing w:line="360" w:lineRule="auto"/>
        <w:ind w:left="120" w:firstLine="240" w:firstLineChars="100"/>
        <w:rPr>
          <w:rFonts w:ascii="宋体" w:hAnsi="宋体" w:cs="宋体"/>
          <w:sz w:val="24"/>
          <w:szCs w:val="24"/>
        </w:rPr>
      </w:pPr>
      <w:r>
        <w:rPr>
          <w:rFonts w:hint="eastAsia" w:ascii="宋体" w:hAnsi="宋体" w:cs="宋体"/>
          <w:sz w:val="24"/>
          <w:szCs w:val="24"/>
        </w:rPr>
        <w:t>7.1报价部分。投标人按照招标文件要求填写“投标报价表”及“分项报价明细表”。 本次招标报价要求：</w:t>
      </w:r>
    </w:p>
    <w:p>
      <w:pPr>
        <w:pStyle w:val="8"/>
        <w:snapToGrid w:val="0"/>
        <w:spacing w:line="360" w:lineRule="auto"/>
        <w:ind w:firstLine="484" w:firstLineChars="202"/>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pStyle w:val="8"/>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（2）投标人每种货物只允许有一个报价，并且在合同履行过程中是固定不变的，任何有选择或可调整的报价将不予接受，并按无效投标处理。</w:t>
      </w:r>
    </w:p>
    <w:p>
      <w:pPr>
        <w:pStyle w:val="8"/>
        <w:snapToGrid w:val="0"/>
        <w:spacing w:line="360" w:lineRule="auto"/>
        <w:ind w:firstLine="484" w:firstLineChars="202"/>
        <w:rPr>
          <w:rFonts w:ascii="宋体" w:hAnsi="宋体" w:cs="宋体"/>
          <w:sz w:val="24"/>
          <w:szCs w:val="24"/>
        </w:rPr>
      </w:pPr>
      <w:r>
        <w:rPr>
          <w:rFonts w:hint="eastAsia" w:ascii="宋体" w:hAnsi="宋体" w:cs="宋体"/>
          <w:sz w:val="24"/>
          <w:szCs w:val="24"/>
        </w:rPr>
        <w:t>7.2 技术部分。投标人按照招标文件要求做出的技术应答，主要是针对招标项目的技术指标、参数和技术要求做出的实质性响应和满足。投标人的技术应答应包括下列内容：</w:t>
      </w:r>
    </w:p>
    <w:p>
      <w:pPr>
        <w:pStyle w:val="8"/>
        <w:snapToGrid w:val="0"/>
        <w:spacing w:line="360" w:lineRule="auto"/>
        <w:ind w:firstLine="360" w:firstLineChars="150"/>
        <w:rPr>
          <w:rFonts w:ascii="宋体" w:hAnsi="宋体" w:cs="宋体"/>
          <w:sz w:val="24"/>
          <w:szCs w:val="24"/>
        </w:rPr>
      </w:pPr>
      <w:r>
        <w:rPr>
          <w:rFonts w:hint="eastAsia" w:ascii="宋体" w:hAnsi="宋体" w:cs="宋体"/>
          <w:sz w:val="24"/>
          <w:szCs w:val="24"/>
        </w:rPr>
        <w:t>（1）投标产品的品牌、型号、配置；</w:t>
      </w:r>
    </w:p>
    <w:p>
      <w:pPr>
        <w:pStyle w:val="8"/>
        <w:snapToGrid w:val="0"/>
        <w:spacing w:line="360" w:lineRule="auto"/>
        <w:ind w:firstLine="0"/>
        <w:rPr>
          <w:rFonts w:ascii="宋体" w:hAnsi="宋体" w:cs="宋体"/>
          <w:sz w:val="24"/>
          <w:szCs w:val="24"/>
        </w:rPr>
      </w:pPr>
      <w:r>
        <w:rPr>
          <w:rFonts w:hint="eastAsia" w:ascii="宋体" w:hAnsi="宋体" w:cs="宋体"/>
          <w:sz w:val="24"/>
          <w:szCs w:val="24"/>
        </w:rPr>
        <w:t>（2）投标产品本身的详细的技术指标和参数（尽可能提供检测报告、产品使用说明书、用户手册等材料予以佐证）；</w:t>
      </w:r>
    </w:p>
    <w:p>
      <w:pPr>
        <w:pStyle w:val="8"/>
        <w:snapToGrid w:val="0"/>
        <w:spacing w:line="360" w:lineRule="auto"/>
        <w:ind w:firstLine="360" w:firstLineChars="150"/>
        <w:rPr>
          <w:rFonts w:ascii="宋体" w:hAnsi="宋体" w:cs="宋体"/>
          <w:sz w:val="24"/>
          <w:szCs w:val="24"/>
        </w:rPr>
      </w:pPr>
      <w:r>
        <w:rPr>
          <w:rFonts w:hint="eastAsia" w:ascii="宋体" w:hAnsi="宋体" w:cs="宋体"/>
          <w:sz w:val="24"/>
          <w:szCs w:val="24"/>
        </w:rPr>
        <w:t>（3）技术方案、项目实施方案；</w:t>
      </w:r>
    </w:p>
    <w:p>
      <w:pPr>
        <w:pStyle w:val="8"/>
        <w:snapToGrid w:val="0"/>
        <w:spacing w:line="360" w:lineRule="auto"/>
        <w:ind w:firstLine="360" w:firstLineChars="150"/>
        <w:rPr>
          <w:rFonts w:ascii="宋体" w:hAnsi="宋体" w:cs="宋体"/>
          <w:sz w:val="24"/>
          <w:szCs w:val="24"/>
        </w:rPr>
      </w:pPr>
      <w:r>
        <w:rPr>
          <w:rFonts w:hint="eastAsia" w:ascii="宋体" w:hAnsi="宋体" w:cs="宋体"/>
          <w:sz w:val="24"/>
          <w:szCs w:val="24"/>
        </w:rPr>
        <w:t>（4）投标产品技术参数表。</w:t>
      </w:r>
    </w:p>
    <w:p>
      <w:pPr>
        <w:snapToGrid w:val="0"/>
        <w:spacing w:line="360" w:lineRule="auto"/>
        <w:ind w:firstLine="400" w:firstLineChars="167"/>
        <w:rPr>
          <w:rFonts w:hAnsi="宋体" w:cs="宋体"/>
          <w:sz w:val="24"/>
          <w:szCs w:val="24"/>
        </w:rPr>
      </w:pPr>
      <w:r>
        <w:rPr>
          <w:rFonts w:hint="eastAsia" w:hAnsi="宋体" w:cs="宋体"/>
          <w:kern w:val="2"/>
          <w:sz w:val="24"/>
          <w:szCs w:val="24"/>
        </w:rPr>
        <w:t>7.3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（1）投标函；</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（2）法定代表人授权书；</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（3）法定代表人和授权代表人身份证复印件；</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（4）证明投标人业绩的有关材料；</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（5）商务应答表。</w:t>
      </w:r>
    </w:p>
    <w:p>
      <w:pPr>
        <w:pStyle w:val="4"/>
        <w:tabs>
          <w:tab w:val="left" w:pos="3480"/>
        </w:tabs>
        <w:snapToGrid w:val="0"/>
        <w:spacing w:before="0" w:after="0" w:line="360" w:lineRule="auto"/>
        <w:ind w:firstLine="120" w:firstLineChars="50"/>
        <w:rPr>
          <w:rFonts w:hAnsi="宋体" w:cs="宋体"/>
          <w:sz w:val="24"/>
          <w:szCs w:val="24"/>
        </w:rPr>
      </w:pPr>
      <w:r>
        <w:rPr>
          <w:rFonts w:hint="eastAsia" w:hAnsi="宋体" w:cs="宋体"/>
          <w:sz w:val="24"/>
          <w:szCs w:val="24"/>
        </w:rPr>
        <w:t>8．投标文件格式</w:t>
      </w:r>
      <w:bookmarkEnd w:id="44"/>
      <w:bookmarkEnd w:id="45"/>
      <w:bookmarkEnd w:id="46"/>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4"/>
        <w:snapToGrid w:val="0"/>
        <w:spacing w:before="0" w:after="0" w:line="360" w:lineRule="auto"/>
        <w:ind w:firstLine="161" w:firstLineChars="67"/>
        <w:rPr>
          <w:rFonts w:hAnsi="宋体" w:cs="宋体"/>
          <w:sz w:val="24"/>
          <w:szCs w:val="24"/>
        </w:rPr>
      </w:pPr>
      <w:bookmarkStart w:id="47" w:name="_Toc183582224"/>
      <w:bookmarkStart w:id="48" w:name="_Toc183682361"/>
      <w:bookmarkStart w:id="49" w:name="_Toc217446051"/>
      <w:r>
        <w:rPr>
          <w:rFonts w:hint="eastAsia" w:hAnsi="宋体" w:cs="宋体"/>
          <w:sz w:val="24"/>
          <w:szCs w:val="24"/>
        </w:rPr>
        <w:t>9．投标有效期</w:t>
      </w:r>
      <w:bookmarkEnd w:id="47"/>
      <w:bookmarkEnd w:id="48"/>
      <w:bookmarkEnd w:id="49"/>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投标有效期为开标后 30天。</w:t>
      </w:r>
    </w:p>
    <w:p>
      <w:pPr>
        <w:pStyle w:val="4"/>
        <w:snapToGrid w:val="0"/>
        <w:spacing w:before="0" w:after="0" w:line="360" w:lineRule="auto"/>
        <w:ind w:firstLine="161" w:firstLineChars="67"/>
        <w:rPr>
          <w:rFonts w:hAnsi="宋体" w:cs="宋体"/>
          <w:sz w:val="24"/>
          <w:szCs w:val="24"/>
        </w:rPr>
      </w:pPr>
      <w:bookmarkStart w:id="50" w:name="_Toc183582226"/>
      <w:bookmarkStart w:id="51" w:name="_Toc89075877"/>
      <w:bookmarkStart w:id="52" w:name="_Toc77400781"/>
      <w:bookmarkStart w:id="53" w:name="_Toc183682363"/>
      <w:bookmarkStart w:id="54" w:name="_Toc217446053"/>
      <w:r>
        <w:rPr>
          <w:rFonts w:hint="eastAsia" w:hAnsi="宋体" w:cs="宋体"/>
          <w:sz w:val="24"/>
          <w:szCs w:val="24"/>
        </w:rPr>
        <w:t>10. 投标文件的密封和标</w:t>
      </w:r>
      <w:bookmarkEnd w:id="50"/>
      <w:bookmarkEnd w:id="51"/>
      <w:bookmarkEnd w:id="52"/>
      <w:bookmarkEnd w:id="53"/>
      <w:r>
        <w:rPr>
          <w:rFonts w:hint="eastAsia" w:hAnsi="宋体" w:cs="宋体"/>
          <w:sz w:val="24"/>
          <w:szCs w:val="24"/>
        </w:rPr>
        <w:t>注</w:t>
      </w:r>
      <w:bookmarkEnd w:id="54"/>
    </w:p>
    <w:p>
      <w:pPr>
        <w:tabs>
          <w:tab w:val="left" w:pos="7665"/>
        </w:tabs>
        <w:snapToGrid w:val="0"/>
        <w:spacing w:line="360" w:lineRule="auto"/>
        <w:ind w:hanging="1"/>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4"/>
        <w:snapToGrid w:val="0"/>
        <w:spacing w:before="0" w:after="0" w:line="360" w:lineRule="auto"/>
        <w:ind w:firstLine="161" w:firstLineChars="67"/>
        <w:rPr>
          <w:rFonts w:hAnsi="宋体" w:cs="宋体"/>
          <w:sz w:val="24"/>
          <w:szCs w:val="24"/>
        </w:rPr>
      </w:pPr>
      <w:bookmarkStart w:id="55" w:name="_Toc183582227"/>
      <w:bookmarkStart w:id="56" w:name="_Toc183682364"/>
      <w:bookmarkStart w:id="57" w:name="_Toc217446054"/>
      <w:r>
        <w:rPr>
          <w:rFonts w:hint="eastAsia" w:hAnsi="宋体" w:cs="宋体"/>
          <w:sz w:val="24"/>
          <w:szCs w:val="24"/>
        </w:rPr>
        <w:t>11．投标文件的</w:t>
      </w:r>
      <w:bookmarkEnd w:id="55"/>
      <w:bookmarkEnd w:id="56"/>
      <w:r>
        <w:rPr>
          <w:rFonts w:hint="eastAsia" w:hAnsi="宋体" w:cs="宋体"/>
          <w:sz w:val="24"/>
          <w:szCs w:val="24"/>
        </w:rPr>
        <w:t>递交</w:t>
      </w:r>
      <w:bookmarkEnd w:id="57"/>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4"/>
        <w:snapToGrid w:val="0"/>
        <w:spacing w:before="0" w:after="0" w:line="360" w:lineRule="auto"/>
        <w:ind w:firstLine="161" w:firstLineChars="67"/>
        <w:rPr>
          <w:rFonts w:hAnsi="宋体" w:cs="宋体"/>
          <w:sz w:val="24"/>
          <w:szCs w:val="24"/>
        </w:rPr>
      </w:pPr>
      <w:bookmarkStart w:id="58" w:name="_Toc183682365"/>
      <w:bookmarkStart w:id="59" w:name="_Toc183582228"/>
      <w:bookmarkStart w:id="60" w:name="_Toc217446055"/>
      <w:r>
        <w:rPr>
          <w:rFonts w:hint="eastAsia" w:hAnsi="宋体" w:cs="宋体"/>
          <w:sz w:val="24"/>
          <w:szCs w:val="24"/>
        </w:rPr>
        <w:t>12．投标文件的修改和撤</w:t>
      </w:r>
      <w:bookmarkEnd w:id="58"/>
      <w:bookmarkEnd w:id="59"/>
      <w:r>
        <w:rPr>
          <w:rFonts w:hint="eastAsia" w:hAnsi="宋体" w:cs="宋体"/>
          <w:sz w:val="24"/>
          <w:szCs w:val="24"/>
        </w:rPr>
        <w:t>回</w:t>
      </w:r>
      <w:bookmarkEnd w:id="60"/>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61" w:name="_Toc183582231"/>
      <w:bookmarkStart w:id="62" w:name="_Toc217446056"/>
      <w:bookmarkStart w:id="63" w:name="_Toc89075878"/>
      <w:bookmarkStart w:id="64" w:name="_Toc183682368"/>
      <w:bookmarkStart w:id="65" w:name="_Toc77400782"/>
    </w:p>
    <w:p>
      <w:pPr>
        <w:pStyle w:val="3"/>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四、开标、评标和中标</w:t>
      </w:r>
      <w:bookmarkEnd w:id="61"/>
      <w:bookmarkEnd w:id="62"/>
      <w:bookmarkEnd w:id="63"/>
      <w:bookmarkEnd w:id="64"/>
      <w:bookmarkEnd w:id="65"/>
      <w:bookmarkStart w:id="66" w:name="_Toc217446057"/>
      <w:bookmarkStart w:id="67" w:name="_Toc183682369"/>
      <w:bookmarkStart w:id="68" w:name="_Toc183582232"/>
    </w:p>
    <w:p>
      <w:pPr>
        <w:tabs>
          <w:tab w:val="left" w:pos="1095"/>
        </w:tabs>
        <w:snapToGrid w:val="0"/>
        <w:spacing w:line="360" w:lineRule="auto"/>
        <w:rPr>
          <w:rFonts w:hAnsi="宋体" w:cs="宋体"/>
          <w:b/>
          <w:sz w:val="24"/>
          <w:szCs w:val="24"/>
        </w:rPr>
      </w:pPr>
      <w:r>
        <w:rPr>
          <w:rFonts w:hint="eastAsia" w:hAnsi="宋体" w:cs="宋体"/>
          <w:b/>
          <w:sz w:val="24"/>
          <w:szCs w:val="24"/>
        </w:rPr>
        <w:t>13．开标</w:t>
      </w:r>
      <w:bookmarkEnd w:id="66"/>
      <w:bookmarkEnd w:id="67"/>
      <w:bookmarkEnd w:id="68"/>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开标时，采购人邀请学校纪检监察室派人对开标及评标全过程进行现场监督。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4"/>
        <w:snapToGrid w:val="0"/>
        <w:spacing w:before="0" w:after="0" w:line="360" w:lineRule="auto"/>
        <w:ind w:firstLine="161" w:firstLineChars="67"/>
        <w:rPr>
          <w:rFonts w:hAnsi="宋体" w:cs="宋体"/>
          <w:sz w:val="24"/>
          <w:szCs w:val="24"/>
        </w:rPr>
      </w:pPr>
      <w:r>
        <w:rPr>
          <w:rFonts w:hint="eastAsia" w:hAnsi="宋体" w:cs="宋体"/>
          <w:sz w:val="24"/>
          <w:szCs w:val="24"/>
        </w:rPr>
        <w:t>14．评标</w:t>
      </w:r>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4"/>
        <w:snapToGrid w:val="0"/>
        <w:spacing w:before="0" w:after="0" w:line="360" w:lineRule="auto"/>
        <w:ind w:firstLine="161" w:firstLineChars="67"/>
        <w:rPr>
          <w:rFonts w:hAnsi="宋体" w:cs="宋体"/>
          <w:sz w:val="24"/>
          <w:szCs w:val="24"/>
        </w:rPr>
      </w:pPr>
      <w:bookmarkStart w:id="69" w:name="_Toc183682375"/>
      <w:bookmarkStart w:id="70" w:name="_Toc183582238"/>
      <w:bookmarkStart w:id="71" w:name="_Toc217446063"/>
      <w:r>
        <w:rPr>
          <w:rFonts w:hint="eastAsia" w:hAnsi="宋体" w:cs="宋体"/>
          <w:sz w:val="24"/>
          <w:szCs w:val="24"/>
        </w:rPr>
        <w:t>15．中标通知</w:t>
      </w:r>
      <w:bookmarkEnd w:id="69"/>
      <w:bookmarkEnd w:id="70"/>
      <w:r>
        <w:rPr>
          <w:rFonts w:hint="eastAsia" w:hAnsi="宋体" w:cs="宋体"/>
          <w:sz w:val="24"/>
          <w:szCs w:val="24"/>
        </w:rPr>
        <w:t>书</w:t>
      </w:r>
      <w:bookmarkEnd w:id="71"/>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72" w:name="_Toc217446064"/>
      <w:bookmarkStart w:id="73" w:name="_Toc183582240"/>
      <w:bookmarkStart w:id="74" w:name="_Toc183682377"/>
    </w:p>
    <w:p>
      <w:pPr>
        <w:pStyle w:val="3"/>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五、签订及履行合同和验收</w:t>
      </w:r>
      <w:bookmarkEnd w:id="72"/>
    </w:p>
    <w:p>
      <w:pPr>
        <w:pStyle w:val="4"/>
        <w:snapToGrid w:val="0"/>
        <w:spacing w:before="0" w:after="0" w:line="360" w:lineRule="auto"/>
        <w:ind w:firstLine="161" w:firstLineChars="67"/>
        <w:rPr>
          <w:rFonts w:hAnsi="宋体" w:cs="宋体"/>
          <w:sz w:val="24"/>
          <w:szCs w:val="24"/>
        </w:rPr>
      </w:pPr>
      <w:bookmarkStart w:id="75" w:name="_Toc217446065"/>
      <w:r>
        <w:rPr>
          <w:rFonts w:hint="eastAsia" w:hAnsi="宋体" w:cs="宋体"/>
          <w:sz w:val="24"/>
          <w:szCs w:val="24"/>
        </w:rPr>
        <w:t>16. 签订合同</w:t>
      </w:r>
      <w:bookmarkEnd w:id="75"/>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4"/>
        <w:snapToGrid w:val="0"/>
        <w:spacing w:before="0" w:after="0" w:line="360" w:lineRule="auto"/>
        <w:ind w:firstLine="161" w:firstLineChars="67"/>
        <w:rPr>
          <w:rFonts w:hAnsi="宋体" w:cs="宋体"/>
          <w:sz w:val="24"/>
          <w:szCs w:val="24"/>
        </w:rPr>
      </w:pPr>
      <w:bookmarkStart w:id="76" w:name="_Toc217446069"/>
      <w:r>
        <w:rPr>
          <w:rFonts w:hint="eastAsia" w:hAnsi="宋体" w:cs="宋体"/>
          <w:sz w:val="24"/>
          <w:szCs w:val="24"/>
        </w:rPr>
        <w:t>17. 履行合同</w:t>
      </w:r>
      <w:bookmarkEnd w:id="76"/>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4"/>
        <w:snapToGrid w:val="0"/>
        <w:spacing w:before="0" w:after="0" w:line="360" w:lineRule="auto"/>
        <w:ind w:firstLine="161" w:firstLineChars="67"/>
        <w:rPr>
          <w:rFonts w:hAnsi="宋体" w:cs="宋体"/>
          <w:sz w:val="24"/>
          <w:szCs w:val="24"/>
        </w:rPr>
      </w:pPr>
      <w:bookmarkStart w:id="77" w:name="_Toc217446070"/>
      <w:r>
        <w:rPr>
          <w:rFonts w:hint="eastAsia" w:hAnsi="宋体" w:cs="宋体"/>
          <w:sz w:val="24"/>
          <w:szCs w:val="24"/>
        </w:rPr>
        <w:t>18. 验收</w:t>
      </w:r>
      <w:bookmarkEnd w:id="77"/>
    </w:p>
    <w:bookmarkEnd w:id="73"/>
    <w:bookmarkEnd w:id="74"/>
    <w:p>
      <w:pPr>
        <w:tabs>
          <w:tab w:val="left" w:pos="7665"/>
        </w:tabs>
        <w:snapToGrid w:val="0"/>
        <w:spacing w:line="360" w:lineRule="auto"/>
        <w:ind w:firstLine="480" w:firstLineChars="200"/>
        <w:rPr>
          <w:rFonts w:hAnsi="宋体" w:cs="宋体"/>
          <w:sz w:val="24"/>
          <w:szCs w:val="24"/>
        </w:rPr>
      </w:pPr>
      <w:bookmarkStart w:id="78" w:name="_Toc217446071"/>
      <w:bookmarkStart w:id="79" w:name="_Toc217446074"/>
      <w:bookmarkStart w:id="80" w:name="_Toc183582243"/>
      <w:bookmarkStart w:id="81" w:name="_Toc183682380"/>
      <w:r>
        <w:rPr>
          <w:rFonts w:hint="eastAsia" w:hAnsi="宋体" w:cs="宋体"/>
          <w:sz w:val="24"/>
          <w:szCs w:val="24"/>
        </w:rPr>
        <w:t xml:space="preserve"> 中标人与采购人按照招标项目技术、商务及其他要求（参见第四章）进行验收，采购人也可依据合同自行组织验收。</w:t>
      </w:r>
    </w:p>
    <w:bookmarkEnd w:id="78"/>
    <w:p>
      <w:pPr>
        <w:pStyle w:val="3"/>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79"/>
    </w:p>
    <w:p>
      <w:pPr>
        <w:pStyle w:val="4"/>
        <w:snapToGrid w:val="0"/>
        <w:spacing w:before="0" w:after="0" w:line="360" w:lineRule="auto"/>
        <w:ind w:firstLine="161" w:firstLineChars="67"/>
        <w:rPr>
          <w:rFonts w:hAnsi="宋体" w:cs="宋体"/>
          <w:sz w:val="24"/>
          <w:szCs w:val="24"/>
        </w:rPr>
      </w:pPr>
      <w:bookmarkStart w:id="82" w:name="_Toc217446075"/>
      <w:r>
        <w:rPr>
          <w:rFonts w:hint="eastAsia" w:hAnsi="宋体" w:cs="宋体"/>
          <w:sz w:val="24"/>
          <w:szCs w:val="24"/>
        </w:rPr>
        <w:t>19. 投标人不得具有的情形</w:t>
      </w:r>
      <w:bookmarkEnd w:id="82"/>
    </w:p>
    <w:p>
      <w:pPr>
        <w:pStyle w:val="5"/>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5"/>
        <w:snapToGrid w:val="0"/>
        <w:spacing w:line="360" w:lineRule="auto"/>
        <w:ind w:firstLine="160" w:firstLineChars="67"/>
        <w:rPr>
          <w:rFonts w:hAnsi="宋体" w:cs="宋体"/>
          <w:sz w:val="24"/>
        </w:rPr>
      </w:pPr>
      <w:r>
        <w:rPr>
          <w:rFonts w:hint="eastAsia" w:hAnsi="宋体" w:cs="宋体"/>
          <w:sz w:val="24"/>
        </w:rPr>
        <w:t>（1）提供虚假材料谋取中标；</w:t>
      </w:r>
    </w:p>
    <w:p>
      <w:pPr>
        <w:pStyle w:val="5"/>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5"/>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5"/>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5"/>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5"/>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5"/>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10"/>
        <w:snapToGrid w:val="0"/>
        <w:spacing w:line="360" w:lineRule="auto"/>
        <w:ind w:left="630" w:firstLine="3162" w:firstLineChars="1050"/>
        <w:rPr>
          <w:rFonts w:hAnsi="宋体" w:cs="宋体"/>
          <w:b/>
          <w:bCs/>
          <w:sz w:val="30"/>
          <w:szCs w:val="30"/>
        </w:rPr>
      </w:pPr>
      <w:bookmarkStart w:id="83" w:name="_Toc217446078"/>
      <w:r>
        <w:rPr>
          <w:rFonts w:hint="eastAsia" w:hAnsi="宋体" w:cs="宋体"/>
          <w:b/>
          <w:bCs/>
          <w:sz w:val="30"/>
          <w:szCs w:val="30"/>
        </w:rPr>
        <w:t>七、质疑</w:t>
      </w:r>
      <w:bookmarkEnd w:id="83"/>
      <w:bookmarkStart w:id="84" w:name="_Toc217446079"/>
    </w:p>
    <w:bookmarkEnd w:id="84"/>
    <w:p>
      <w:pPr>
        <w:pStyle w:val="4"/>
        <w:snapToGrid w:val="0"/>
        <w:spacing w:before="0" w:after="0" w:line="360" w:lineRule="auto"/>
        <w:ind w:firstLine="161" w:firstLineChars="67"/>
        <w:rPr>
          <w:rFonts w:hAnsi="宋体" w:cs="宋体"/>
          <w:sz w:val="24"/>
          <w:szCs w:val="24"/>
        </w:rPr>
      </w:pPr>
      <w:r>
        <w:rPr>
          <w:rFonts w:hint="eastAsia" w:hAnsi="宋体" w:cs="宋体"/>
          <w:sz w:val="24"/>
          <w:szCs w:val="24"/>
        </w:rPr>
        <w:t>20.质疑。</w:t>
      </w:r>
      <w:bookmarkEnd w:id="80"/>
      <w:bookmarkEnd w:id="81"/>
    </w:p>
    <w:p>
      <w:pPr>
        <w:pStyle w:val="5"/>
        <w:snapToGrid w:val="0"/>
        <w:spacing w:line="360" w:lineRule="auto"/>
        <w:ind w:firstLine="160" w:firstLineChars="67"/>
        <w:rPr>
          <w:rFonts w:hAnsi="宋体" w:cs="宋体"/>
          <w:sz w:val="24"/>
        </w:rPr>
      </w:pPr>
      <w:r>
        <w:rPr>
          <w:rFonts w:hint="eastAsia" w:hAnsi="宋体" w:cs="宋体"/>
          <w:sz w:val="24"/>
        </w:rPr>
        <w:t>在招标投标过程中，如有任何质疑，可向四川铁道职业学院纪检监察室询问，联系电话：028-68939874。</w:t>
      </w:r>
      <w:bookmarkStart w:id="85" w:name="_Toc358883243"/>
    </w:p>
    <w:p>
      <w:pPr>
        <w:pStyle w:val="10"/>
        <w:snapToGrid w:val="0"/>
        <w:spacing w:line="360" w:lineRule="auto"/>
        <w:ind w:firstLine="480" w:firstLineChars="200"/>
        <w:rPr>
          <w:rFonts w:hAnsi="宋体" w:cs="宋体"/>
          <w:sz w:val="24"/>
        </w:rPr>
      </w:pPr>
    </w:p>
    <w:p>
      <w:pPr>
        <w:pStyle w:val="10"/>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
    <w:p/>
    <w:p/>
    <w:p>
      <w:pPr>
        <w:rPr>
          <w:rFonts w:ascii="Times New Roman"/>
        </w:rPr>
      </w:pPr>
    </w:p>
    <w:p>
      <w:pPr>
        <w:pStyle w:val="2"/>
        <w:snapToGrid w:val="0"/>
        <w:spacing w:before="0" w:after="0" w:line="360" w:lineRule="auto"/>
        <w:jc w:val="center"/>
        <w:rPr>
          <w:rFonts w:hAnsi="宋体" w:cs="宋体"/>
          <w:sz w:val="30"/>
          <w:szCs w:val="30"/>
        </w:rPr>
      </w:pPr>
      <w:r>
        <w:rPr>
          <w:rFonts w:hint="eastAsia" w:hAnsi="宋体" w:cs="宋体"/>
          <w:sz w:val="30"/>
          <w:szCs w:val="30"/>
        </w:rPr>
        <w:t>第三章 投标文件格式</w:t>
      </w:r>
      <w:bookmarkEnd w:id="85"/>
    </w:p>
    <w:p>
      <w:pPr>
        <w:pStyle w:val="3"/>
        <w:snapToGrid w:val="0"/>
        <w:spacing w:before="0" w:after="0" w:line="360" w:lineRule="auto"/>
        <w:jc w:val="center"/>
        <w:rPr>
          <w:rFonts w:ascii="宋体" w:hAnsi="宋体" w:eastAsia="宋体" w:cs="宋体"/>
        </w:rPr>
      </w:pPr>
      <w:bookmarkStart w:id="86" w:name="_Toc217446082"/>
      <w:r>
        <w:rPr>
          <w:rFonts w:hint="eastAsia" w:ascii="宋体" w:hAnsi="宋体" w:eastAsia="宋体" w:cs="宋体"/>
        </w:rPr>
        <w:t>一、投 标 函</w:t>
      </w:r>
      <w:bookmarkEnd w:id="86"/>
    </w:p>
    <w:p>
      <w:pPr>
        <w:pStyle w:val="10"/>
        <w:snapToGrid w:val="0"/>
        <w:spacing w:line="348" w:lineRule="auto"/>
        <w:ind w:hanging="1"/>
        <w:jc w:val="left"/>
        <w:rPr>
          <w:rFonts w:hAnsi="宋体" w:cs="宋体"/>
          <w:bCs/>
          <w:sz w:val="24"/>
          <w:szCs w:val="24"/>
        </w:rPr>
      </w:pPr>
      <w:bookmarkStart w:id="87" w:name="_Toc217446083"/>
      <w:r>
        <w:rPr>
          <w:rFonts w:hint="eastAsia" w:hAnsi="宋体" w:cs="宋体"/>
          <w:bCs/>
          <w:sz w:val="24"/>
          <w:szCs w:val="24"/>
        </w:rPr>
        <w:t>__________________（采购人名称）：</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0"/>
        <w:numPr>
          <w:ilvl w:val="0"/>
          <w:numId w:val="3"/>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0"/>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 。</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
    <w:p/>
    <w:p/>
    <w:p>
      <w:pPr>
        <w:rPr>
          <w:rFonts w:ascii="Times New Roman"/>
        </w:rPr>
      </w:pPr>
    </w:p>
    <w:p>
      <w:pPr>
        <w:rPr>
          <w:rFonts w:ascii="Times New Roman"/>
        </w:rPr>
      </w:pPr>
    </w:p>
    <w:p>
      <w:pPr>
        <w:pStyle w:val="3"/>
        <w:snapToGrid w:val="0"/>
        <w:spacing w:before="0" w:after="0" w:line="360" w:lineRule="auto"/>
        <w:jc w:val="center"/>
        <w:rPr>
          <w:rFonts w:ascii="宋体" w:hAnsi="宋体" w:eastAsia="宋体" w:cs="宋体"/>
        </w:rPr>
      </w:pPr>
      <w:r>
        <w:rPr>
          <w:rFonts w:hint="eastAsia" w:ascii="宋体" w:hAnsi="宋体" w:eastAsia="宋体" w:cs="宋体"/>
        </w:rPr>
        <w:t>二、法定代表人授权书</w:t>
      </w:r>
      <w:bookmarkEnd w:id="87"/>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88" w:name="_Toc263753600"/>
      <w:bookmarkStart w:id="89" w:name="_Toc256175382"/>
      <w:bookmarkStart w:id="90" w:name="_Toc250041691"/>
      <w:bookmarkStart w:id="91" w:name="_Toc297204985"/>
      <w:bookmarkStart w:id="92" w:name="_Toc263768864"/>
      <w:bookmarkStart w:id="93" w:name="_Toc237145385"/>
      <w:bookmarkStart w:id="94" w:name="_Toc217446085"/>
    </w:p>
    <w:bookmarkEnd w:id="88"/>
    <w:bookmarkEnd w:id="89"/>
    <w:bookmarkEnd w:id="90"/>
    <w:bookmarkEnd w:id="91"/>
    <w:bookmarkEnd w:id="92"/>
    <w:bookmarkEnd w:id="93"/>
    <w:p>
      <w:pPr>
        <w:adjustRightInd w:val="0"/>
        <w:snapToGrid w:val="0"/>
        <w:spacing w:line="360" w:lineRule="auto"/>
        <w:jc w:val="left"/>
        <w:rPr>
          <w:rFonts w:hAnsi="宋体" w:cs="宋体"/>
          <w:bCs/>
          <w:spacing w:val="8"/>
          <w:sz w:val="24"/>
          <w:szCs w:val="24"/>
        </w:rPr>
        <w:sectPr>
          <w:footerReference r:id="rId6" w:type="default"/>
          <w:pgSz w:w="11907" w:h="16840"/>
          <w:pgMar w:top="1440" w:right="1080" w:bottom="1440" w:left="1080" w:header="851" w:footer="992" w:gutter="0"/>
          <w:cols w:space="720" w:num="1"/>
          <w:docGrid w:type="lines" w:linePitch="312" w:charSpace="0"/>
        </w:sectPr>
      </w:pPr>
    </w:p>
    <w:bookmarkEnd w:id="94"/>
    <w:p>
      <w:pPr>
        <w:pStyle w:val="3"/>
        <w:keepNext w:val="0"/>
        <w:keepLines w:val="0"/>
        <w:snapToGrid w:val="0"/>
        <w:spacing w:before="0" w:after="0"/>
        <w:jc w:val="center"/>
        <w:rPr>
          <w:rFonts w:ascii="仿宋_GB2312" w:eastAsia="仿宋_GB2312"/>
        </w:rPr>
      </w:pPr>
      <w:bookmarkStart w:id="95" w:name="_Toc123786888"/>
      <w:bookmarkStart w:id="96" w:name="_Toc315963014"/>
      <w:r>
        <w:rPr>
          <w:rFonts w:hint="eastAsia" w:ascii="仿宋_GB2312" w:eastAsia="仿宋_GB2312"/>
        </w:rPr>
        <w:t>三、投标</w:t>
      </w:r>
      <w:bookmarkEnd w:id="95"/>
      <w:r>
        <w:rPr>
          <w:rFonts w:hint="eastAsia" w:ascii="仿宋_GB2312" w:eastAsia="仿宋_GB2312"/>
        </w:rPr>
        <w:t>报价表</w:t>
      </w:r>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p>
      <w:pPr>
        <w:adjustRightInd w:val="0"/>
        <w:snapToGrid w:val="0"/>
        <w:spacing w:line="360" w:lineRule="auto"/>
        <w:rPr>
          <w:rFonts w:ascii="仿宋_GB2312" w:hAnsi="宋体" w:eastAsia="仿宋_GB2312"/>
          <w:sz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840" w:type="dxa"/>
            <w:vAlign w:val="center"/>
          </w:tcPr>
          <w:p>
            <w:pPr>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rPr>
              <w:t>投标总价</w:t>
            </w:r>
          </w:p>
        </w:tc>
        <w:tc>
          <w:tcPr>
            <w:tcW w:w="6840" w:type="dxa"/>
            <w:vAlign w:val="center"/>
          </w:tcPr>
          <w:p>
            <w:pPr>
              <w:snapToGrid w:val="0"/>
              <w:spacing w:line="360" w:lineRule="auto"/>
              <w:rPr>
                <w:rFonts w:ascii="仿宋_GB2312" w:eastAsia="仿宋_GB2312"/>
                <w:u w:val="single"/>
              </w:rPr>
            </w:pPr>
            <w:r>
              <w:rPr>
                <w:rFonts w:hint="eastAsia" w:ascii="仿宋_GB2312" w:eastAsia="仿宋_GB2312"/>
              </w:rPr>
              <w:t>（大写）人民币</w:t>
            </w:r>
          </w:p>
          <w:p>
            <w:pPr>
              <w:adjustRightInd w:val="0"/>
              <w:snapToGrid w:val="0"/>
              <w:spacing w:line="360" w:lineRule="auto"/>
              <w:rPr>
                <w:rFonts w:ascii="仿宋_GB2312" w:eastAsia="仿宋_GB2312"/>
              </w:rPr>
            </w:pPr>
          </w:p>
          <w:p>
            <w:pPr>
              <w:adjustRightInd w:val="0"/>
              <w:snapToGrid w:val="0"/>
              <w:spacing w:line="360" w:lineRule="auto"/>
              <w:rPr>
                <w:rFonts w:ascii="仿宋_GB2312" w:hAnsi="宋体" w:eastAsia="仿宋_GB2312"/>
                <w:u w:val="single"/>
              </w:rPr>
            </w:pPr>
            <w:r>
              <w:rPr>
                <w:rFonts w:hint="eastAsia" w:ascii="仿宋_GB2312" w:eastAsia="仿宋_GB231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jc w:val="center"/>
              <w:rPr>
                <w:rFonts w:ascii="仿宋_GB2312" w:eastAsia="仿宋_GB2312"/>
              </w:rPr>
            </w:pPr>
            <w:r>
              <w:rPr>
                <w:rFonts w:hint="eastAsia" w:ascii="仿宋_GB2312" w:hAnsi="宋体" w:eastAsia="仿宋_GB2312"/>
              </w:rPr>
              <w:t>供货周期</w:t>
            </w:r>
          </w:p>
        </w:tc>
        <w:tc>
          <w:tcPr>
            <w:tcW w:w="6840" w:type="dxa"/>
            <w:vAlign w:val="center"/>
          </w:tcPr>
          <w:p>
            <w:pPr>
              <w:adjustRightInd w:val="0"/>
              <w:snapToGrid w:val="0"/>
              <w:spacing w:line="360" w:lineRule="auto"/>
              <w:rPr>
                <w:rFonts w:ascii="仿宋_GB2312" w:hAnsi="宋体"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840" w:type="dxa"/>
            <w:vAlign w:val="center"/>
          </w:tcPr>
          <w:p>
            <w:pPr>
              <w:adjustRightInd w:val="0"/>
              <w:snapToGrid w:val="0"/>
              <w:spacing w:line="360" w:lineRule="auto"/>
              <w:jc w:val="center"/>
              <w:rPr>
                <w:rFonts w:ascii="仿宋_GB2312" w:hAnsi="宋体" w:eastAsia="仿宋_GB2312"/>
                <w:u w:val="single"/>
              </w:rPr>
            </w:pPr>
          </w:p>
        </w:tc>
      </w:tr>
    </w:tbl>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3"/>
        <w:snapToGrid w:val="0"/>
        <w:spacing w:before="0" w:after="0" w:line="360" w:lineRule="auto"/>
        <w:jc w:val="center"/>
        <w:rPr>
          <w:rFonts w:ascii="宋体" w:hAnsi="宋体" w:eastAsia="宋体" w:cs="宋体"/>
        </w:rPr>
      </w:pPr>
      <w:r>
        <w:rPr>
          <w:rFonts w:hint="eastAsia" w:ascii="宋体" w:hAnsi="宋体" w:eastAsia="宋体" w:cs="宋体"/>
        </w:rPr>
        <w:t>四、分项报价明细表</w:t>
      </w:r>
      <w:bookmarkEnd w:id="96"/>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79"/>
        <w:gridCol w:w="1283"/>
        <w:gridCol w:w="983"/>
        <w:gridCol w:w="788"/>
        <w:gridCol w:w="789"/>
        <w:gridCol w:w="788"/>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85" w:type="dxa"/>
            <w:vAlign w:val="center"/>
          </w:tcPr>
          <w:p>
            <w:pPr>
              <w:snapToGrid w:val="0"/>
              <w:spacing w:line="360" w:lineRule="auto"/>
              <w:jc w:val="center"/>
              <w:rPr>
                <w:rFonts w:hAnsi="宋体" w:cs="宋体"/>
                <w:sz w:val="24"/>
                <w:szCs w:val="24"/>
              </w:rPr>
            </w:pPr>
            <w:r>
              <w:rPr>
                <w:rFonts w:hint="eastAsia" w:hAnsi="宋体" w:cs="宋体"/>
                <w:sz w:val="24"/>
                <w:szCs w:val="24"/>
              </w:rPr>
              <w:t>序号</w:t>
            </w:r>
          </w:p>
        </w:tc>
        <w:tc>
          <w:tcPr>
            <w:tcW w:w="1379" w:type="dxa"/>
            <w:vAlign w:val="center"/>
          </w:tcPr>
          <w:p>
            <w:pPr>
              <w:snapToGrid w:val="0"/>
              <w:spacing w:line="360" w:lineRule="auto"/>
              <w:jc w:val="center"/>
              <w:rPr>
                <w:rFonts w:hAnsi="宋体" w:cs="宋体"/>
                <w:sz w:val="24"/>
                <w:szCs w:val="24"/>
              </w:rPr>
            </w:pPr>
            <w:r>
              <w:rPr>
                <w:rFonts w:hint="eastAsia" w:hAnsi="宋体" w:cs="宋体"/>
                <w:sz w:val="24"/>
                <w:szCs w:val="24"/>
              </w:rPr>
              <w:t>产品名称</w:t>
            </w:r>
          </w:p>
        </w:tc>
        <w:tc>
          <w:tcPr>
            <w:tcW w:w="1283" w:type="dxa"/>
            <w:vAlign w:val="center"/>
          </w:tcPr>
          <w:p>
            <w:pPr>
              <w:snapToGrid w:val="0"/>
              <w:spacing w:line="360" w:lineRule="auto"/>
              <w:jc w:val="center"/>
              <w:rPr>
                <w:rFonts w:hAnsi="宋体" w:cs="宋体"/>
                <w:sz w:val="24"/>
                <w:szCs w:val="24"/>
              </w:rPr>
            </w:pPr>
            <w:r>
              <w:rPr>
                <w:rFonts w:hint="eastAsia" w:hAnsi="宋体" w:cs="宋体"/>
                <w:sz w:val="24"/>
                <w:szCs w:val="24"/>
              </w:rPr>
              <w:t>规格型号</w:t>
            </w:r>
          </w:p>
        </w:tc>
        <w:tc>
          <w:tcPr>
            <w:tcW w:w="983" w:type="dxa"/>
            <w:vAlign w:val="center"/>
          </w:tcPr>
          <w:p>
            <w:pPr>
              <w:snapToGrid w:val="0"/>
              <w:spacing w:line="360" w:lineRule="auto"/>
              <w:jc w:val="center"/>
              <w:rPr>
                <w:rFonts w:hAnsi="宋体" w:cs="宋体"/>
                <w:sz w:val="24"/>
                <w:szCs w:val="24"/>
              </w:rPr>
            </w:pPr>
            <w:r>
              <w:rPr>
                <w:rFonts w:hint="eastAsia" w:hAnsi="宋体" w:cs="宋体"/>
                <w:sz w:val="24"/>
                <w:szCs w:val="24"/>
              </w:rPr>
              <w:t>品牌</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789" w:type="dxa"/>
            <w:vAlign w:val="center"/>
          </w:tcPr>
          <w:p>
            <w:pPr>
              <w:snapToGrid w:val="0"/>
              <w:spacing w:line="360" w:lineRule="auto"/>
              <w:jc w:val="center"/>
              <w:rPr>
                <w:rFonts w:hAnsi="宋体" w:cs="宋体"/>
                <w:sz w:val="24"/>
                <w:szCs w:val="24"/>
              </w:rPr>
            </w:pPr>
            <w:r>
              <w:rPr>
                <w:rFonts w:hint="eastAsia" w:hAnsi="宋体" w:cs="宋体"/>
                <w:sz w:val="24"/>
                <w:szCs w:val="24"/>
              </w:rPr>
              <w:t>数量</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单价</w:t>
            </w:r>
          </w:p>
        </w:tc>
        <w:tc>
          <w:tcPr>
            <w:tcW w:w="1381" w:type="dxa"/>
            <w:vAlign w:val="center"/>
          </w:tcPr>
          <w:p>
            <w:pPr>
              <w:snapToGrid w:val="0"/>
              <w:spacing w:line="360" w:lineRule="auto"/>
              <w:jc w:val="center"/>
              <w:rPr>
                <w:rFonts w:hAnsi="宋体" w:cs="宋体"/>
                <w:sz w:val="24"/>
                <w:szCs w:val="24"/>
              </w:rPr>
            </w:pPr>
            <w:r>
              <w:rPr>
                <w:rFonts w:hint="eastAsia" w:hAnsi="宋体" w:cs="宋体"/>
                <w:sz w:val="24"/>
                <w:szCs w:val="24"/>
              </w:rPr>
              <w:t>金额</w:t>
            </w:r>
          </w:p>
        </w:tc>
        <w:tc>
          <w:tcPr>
            <w:tcW w:w="899" w:type="dxa"/>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6010" w:type="dxa"/>
            <w:gridSpan w:val="6"/>
            <w:vAlign w:val="center"/>
          </w:tcPr>
          <w:p>
            <w:pPr>
              <w:snapToGrid w:val="0"/>
              <w:spacing w:line="360" w:lineRule="auto"/>
              <w:ind w:firstLine="600" w:firstLineChars="250"/>
              <w:jc w:val="left"/>
              <w:rPr>
                <w:rFonts w:hAnsi="宋体" w:cs="宋体"/>
                <w:sz w:val="24"/>
                <w:szCs w:val="24"/>
              </w:rPr>
            </w:pPr>
            <w:r>
              <w:rPr>
                <w:rFonts w:hint="eastAsia" w:hAnsi="宋体" w:cs="宋体"/>
                <w:sz w:val="24"/>
                <w:szCs w:val="24"/>
              </w:rPr>
              <w:t>分项报价合计（万元）</w:t>
            </w: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bCs/>
          <w:spacing w:val="8"/>
          <w:sz w:val="24"/>
          <w:szCs w:val="24"/>
        </w:rPr>
      </w:pPr>
    </w:p>
    <w:p>
      <w:pPr>
        <w:adjustRightInd w:val="0"/>
        <w:snapToGrid w:val="0"/>
        <w:spacing w:line="360" w:lineRule="auto"/>
        <w:ind w:firstLine="480" w:firstLineChars="200"/>
        <w:jc w:val="left"/>
        <w:rPr>
          <w:rFonts w:hAnsi="宋体" w:cs="宋体"/>
          <w:sz w:val="24"/>
          <w:szCs w:val="24"/>
        </w:rPr>
        <w:sectPr>
          <w:footerReference r:id="rId7" w:type="default"/>
          <w:type w:val="nextColumn"/>
          <w:pgSz w:w="11907" w:h="16840"/>
          <w:pgMar w:top="1440" w:right="1474" w:bottom="1440" w:left="1474" w:header="851" w:footer="992" w:gutter="0"/>
          <w:cols w:space="720" w:num="1"/>
          <w:docGrid w:type="lines" w:linePitch="312" w:charSpace="0"/>
        </w:sectPr>
      </w:pPr>
    </w:p>
    <w:p>
      <w:bookmarkStart w:id="97" w:name="_Toc217446087"/>
    </w:p>
    <w:p>
      <w:pPr>
        <w:pStyle w:val="3"/>
        <w:snapToGrid w:val="0"/>
        <w:spacing w:before="0" w:after="0" w:line="360" w:lineRule="auto"/>
        <w:jc w:val="center"/>
        <w:rPr>
          <w:rFonts w:ascii="宋体" w:hAnsi="宋体" w:eastAsia="宋体" w:cs="宋体"/>
        </w:rPr>
      </w:pPr>
      <w:r>
        <w:rPr>
          <w:rFonts w:hint="eastAsia" w:ascii="宋体" w:hAnsi="宋体" w:eastAsia="宋体" w:cs="宋体"/>
        </w:rPr>
        <w:t>五、商务应答表</w:t>
      </w:r>
      <w:bookmarkEnd w:id="97"/>
    </w:p>
    <w:p>
      <w:pPr>
        <w:pStyle w:val="13"/>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3079"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
      <w:pPr>
        <w:pStyle w:val="3"/>
        <w:snapToGrid w:val="0"/>
        <w:spacing w:before="0" w:after="0" w:line="360" w:lineRule="auto"/>
        <w:jc w:val="center"/>
        <w:rPr>
          <w:rFonts w:ascii="宋体" w:hAnsi="宋体" w:eastAsia="宋体" w:cs="宋体"/>
        </w:rPr>
      </w:pPr>
      <w:r>
        <w:rPr>
          <w:rFonts w:hint="eastAsia" w:ascii="宋体" w:hAnsi="宋体" w:eastAsia="宋体" w:cs="宋体"/>
        </w:rPr>
        <w:t>六、投标人近三年类似项目业绩一览表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792"/>
        <w:gridCol w:w="2505"/>
        <w:gridCol w:w="1461"/>
        <w:gridCol w:w="1478"/>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1792" w:type="dxa"/>
            <w:vAlign w:val="center"/>
          </w:tcPr>
          <w:p>
            <w:pPr>
              <w:snapToGrid w:val="0"/>
              <w:spacing w:line="360" w:lineRule="auto"/>
              <w:jc w:val="center"/>
              <w:rPr>
                <w:rFonts w:hAnsi="宋体" w:cs="宋体"/>
                <w:bCs/>
                <w:sz w:val="24"/>
                <w:szCs w:val="24"/>
              </w:rPr>
            </w:pPr>
            <w:r>
              <w:rPr>
                <w:rFonts w:hint="eastAsia" w:hAnsi="宋体" w:cs="宋体"/>
                <w:bCs/>
                <w:sz w:val="24"/>
                <w:szCs w:val="24"/>
              </w:rPr>
              <w:t>用户名称</w:t>
            </w:r>
          </w:p>
        </w:tc>
        <w:tc>
          <w:tcPr>
            <w:tcW w:w="2505" w:type="dxa"/>
            <w:vAlign w:val="center"/>
          </w:tcPr>
          <w:p>
            <w:pPr>
              <w:snapToGrid w:val="0"/>
              <w:spacing w:line="360" w:lineRule="auto"/>
              <w:jc w:val="center"/>
              <w:rPr>
                <w:rFonts w:hAnsi="宋体" w:cs="宋体"/>
                <w:bCs/>
                <w:sz w:val="24"/>
                <w:szCs w:val="24"/>
              </w:rPr>
            </w:pPr>
            <w:r>
              <w:rPr>
                <w:rFonts w:hint="eastAsia" w:hAnsi="宋体" w:cs="宋体"/>
                <w:bCs/>
                <w:sz w:val="24"/>
                <w:szCs w:val="24"/>
              </w:rPr>
              <w:t>项目名称</w:t>
            </w:r>
          </w:p>
        </w:tc>
        <w:tc>
          <w:tcPr>
            <w:tcW w:w="1461" w:type="dxa"/>
            <w:vAlign w:val="center"/>
          </w:tcPr>
          <w:p>
            <w:pPr>
              <w:snapToGrid w:val="0"/>
              <w:spacing w:line="360" w:lineRule="auto"/>
              <w:jc w:val="center"/>
              <w:rPr>
                <w:rFonts w:hAnsi="宋体" w:cs="宋体"/>
                <w:bCs/>
                <w:sz w:val="24"/>
                <w:szCs w:val="24"/>
              </w:rPr>
            </w:pPr>
            <w:r>
              <w:rPr>
                <w:rFonts w:hint="eastAsia" w:hAnsi="宋体" w:cs="宋体"/>
                <w:bCs/>
                <w:sz w:val="24"/>
                <w:szCs w:val="24"/>
              </w:rPr>
              <w:t>完成时间</w:t>
            </w:r>
          </w:p>
        </w:tc>
        <w:tc>
          <w:tcPr>
            <w:tcW w:w="1478" w:type="dxa"/>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合同金额</w:t>
            </w:r>
          </w:p>
        </w:tc>
        <w:tc>
          <w:tcPr>
            <w:tcW w:w="1081"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tcBorders>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tcBorders>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snapToGrid w:val="0"/>
              <w:spacing w:line="360" w:lineRule="auto"/>
              <w:jc w:val="left"/>
              <w:rPr>
                <w:rFonts w:hAnsi="宋体" w:cs="宋体"/>
                <w:sz w:val="24"/>
                <w:szCs w:val="24"/>
              </w:rPr>
            </w:pPr>
          </w:p>
        </w:tc>
        <w:tc>
          <w:tcPr>
            <w:tcW w:w="1792"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7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snapToGrid w:val="0"/>
              <w:spacing w:line="360" w:lineRule="auto"/>
              <w:jc w:val="left"/>
              <w:rPr>
                <w:rFonts w:hAnsi="宋体" w:cs="宋体"/>
                <w:sz w:val="24"/>
                <w:szCs w:val="24"/>
              </w:rPr>
            </w:pPr>
          </w:p>
        </w:tc>
        <w:tc>
          <w:tcPr>
            <w:tcW w:w="1792" w:type="dxa"/>
            <w:tcBorders>
              <w:bottom w:val="single" w:color="auto" w:sz="4" w:space="0"/>
            </w:tcBorders>
            <w:vAlign w:val="center"/>
          </w:tcPr>
          <w:p>
            <w:pPr>
              <w:snapToGrid w:val="0"/>
              <w:spacing w:line="360" w:lineRule="auto"/>
              <w:jc w:val="left"/>
              <w:rPr>
                <w:rFonts w:hAnsi="宋体" w:cs="宋体"/>
                <w:sz w:val="24"/>
                <w:szCs w:val="24"/>
              </w:rPr>
            </w:pPr>
          </w:p>
        </w:tc>
        <w:tc>
          <w:tcPr>
            <w:tcW w:w="2505" w:type="dxa"/>
            <w:tcBorders>
              <w:bottom w:val="single" w:color="auto" w:sz="4" w:space="0"/>
            </w:tcBorders>
            <w:vAlign w:val="center"/>
          </w:tcPr>
          <w:p>
            <w:pPr>
              <w:snapToGrid w:val="0"/>
              <w:spacing w:line="360" w:lineRule="auto"/>
              <w:jc w:val="left"/>
              <w:rPr>
                <w:rFonts w:hAnsi="宋体" w:cs="宋体"/>
                <w:sz w:val="24"/>
                <w:szCs w:val="24"/>
              </w:rPr>
            </w:pPr>
          </w:p>
        </w:tc>
        <w:tc>
          <w:tcPr>
            <w:tcW w:w="1461" w:type="dxa"/>
            <w:tcBorders>
              <w:bottom w:val="single" w:color="auto" w:sz="4" w:space="0"/>
            </w:tcBorders>
            <w:vAlign w:val="center"/>
          </w:tcPr>
          <w:p>
            <w:pPr>
              <w:snapToGrid w:val="0"/>
              <w:spacing w:line="360" w:lineRule="auto"/>
              <w:jc w:val="left"/>
              <w:rPr>
                <w:rFonts w:hAnsi="宋体" w:cs="宋体"/>
                <w:sz w:val="24"/>
                <w:szCs w:val="24"/>
              </w:rPr>
            </w:pPr>
          </w:p>
        </w:tc>
        <w:tc>
          <w:tcPr>
            <w:tcW w:w="1478" w:type="dxa"/>
            <w:tcBorders>
              <w:bottom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pStyle w:val="3"/>
        <w:snapToGrid w:val="0"/>
        <w:spacing w:before="0" w:after="0" w:line="360" w:lineRule="auto"/>
        <w:jc w:val="center"/>
        <w:rPr>
          <w:rFonts w:ascii="宋体" w:hAnsi="宋体" w:eastAsia="宋体" w:cs="宋体"/>
        </w:rPr>
      </w:pPr>
      <w:r>
        <w:rPr>
          <w:rFonts w:hAnsi="宋体" w:cs="宋体"/>
        </w:rPr>
        <w:br w:type="page"/>
      </w:r>
      <w:r>
        <w:rPr>
          <w:rFonts w:hint="eastAsia" w:ascii="宋体" w:hAnsi="宋体" w:eastAsia="宋体" w:cs="宋体"/>
        </w:rPr>
        <w:t>七、投标人最近三年经审计的财务报告</w:t>
      </w:r>
    </w:p>
    <w:p>
      <w:pPr>
        <w:rPr>
          <w:rFonts w:hAnsi="宋体" w:cs="宋体"/>
          <w:bCs/>
          <w:spacing w:val="8"/>
          <w:sz w:val="24"/>
          <w:szCs w:val="24"/>
        </w:rPr>
      </w:pPr>
      <w:r>
        <w:rPr>
          <w:rFonts w:hint="eastAsia" w:hAnsi="宋体" w:cs="宋体"/>
          <w:bCs/>
          <w:spacing w:val="8"/>
          <w:sz w:val="24"/>
          <w:szCs w:val="24"/>
        </w:rPr>
        <w:t>（格式自拟）</w:t>
      </w:r>
    </w:p>
    <w:p>
      <w:r>
        <w:br w:type="page"/>
      </w:r>
    </w:p>
    <w:p>
      <w:pPr>
        <w:pStyle w:val="3"/>
        <w:snapToGrid w:val="0"/>
        <w:spacing w:before="0" w:after="0" w:line="360" w:lineRule="auto"/>
        <w:jc w:val="center"/>
        <w:rPr>
          <w:rFonts w:ascii="宋体" w:hAnsi="宋体" w:eastAsia="宋体" w:cs="宋体"/>
        </w:rPr>
      </w:pPr>
      <w:r>
        <w:rPr>
          <w:rFonts w:hint="eastAsia" w:ascii="宋体" w:hAnsi="宋体" w:eastAsia="宋体" w:cs="宋体"/>
        </w:rPr>
        <w:t>八、投标人最近一年任意一月的税收和社会保障金证明</w:t>
      </w:r>
    </w:p>
    <w:p>
      <w:pPr>
        <w:rPr>
          <w:rFonts w:hAnsi="宋体" w:cs="宋体"/>
          <w:bCs/>
          <w:spacing w:val="8"/>
          <w:sz w:val="24"/>
          <w:szCs w:val="24"/>
        </w:rPr>
      </w:pPr>
      <w:r>
        <w:rPr>
          <w:rFonts w:hint="eastAsia" w:hAnsi="宋体" w:cs="宋体"/>
          <w:bCs/>
          <w:spacing w:val="8"/>
          <w:sz w:val="24"/>
          <w:szCs w:val="24"/>
        </w:rPr>
        <w:t>（格式自拟）</w:t>
      </w:r>
    </w:p>
    <w:p>
      <w:r>
        <w:br w:type="page"/>
      </w:r>
    </w:p>
    <w:p>
      <w:pPr>
        <w:pStyle w:val="3"/>
        <w:snapToGrid w:val="0"/>
        <w:spacing w:before="0" w:after="0" w:line="360" w:lineRule="auto"/>
        <w:jc w:val="center"/>
        <w:rPr>
          <w:rFonts w:ascii="宋体" w:hAnsi="宋体" w:eastAsia="宋体" w:cs="宋体"/>
        </w:rPr>
      </w:pPr>
      <w:r>
        <w:rPr>
          <w:rFonts w:hint="eastAsia" w:ascii="宋体" w:hAnsi="宋体" w:eastAsia="宋体" w:cs="宋体"/>
        </w:rPr>
        <w:t>九、投标人认为有必要补充说明的相关信息</w:t>
      </w:r>
    </w:p>
    <w:p>
      <w:pPr>
        <w:rPr>
          <w:rFonts w:hAnsi="宋体" w:cs="宋体"/>
          <w:bCs/>
          <w:spacing w:val="8"/>
          <w:sz w:val="24"/>
          <w:szCs w:val="24"/>
        </w:rPr>
      </w:pPr>
      <w:r>
        <w:rPr>
          <w:rFonts w:hint="eastAsia" w:hAnsi="宋体" w:cs="宋体"/>
          <w:bCs/>
          <w:spacing w:val="8"/>
          <w:sz w:val="24"/>
          <w:szCs w:val="24"/>
        </w:rPr>
        <w:t>（格式自拟）</w:t>
      </w:r>
    </w:p>
    <w:p>
      <w:pPr>
        <w:adjustRightInd w:val="0"/>
        <w:snapToGrid w:val="0"/>
        <w:spacing w:line="360" w:lineRule="auto"/>
        <w:jc w:val="left"/>
        <w:rPr>
          <w:rFonts w:hAnsi="宋体" w:cs="宋体"/>
          <w:bCs/>
          <w:spacing w:val="8"/>
          <w:sz w:val="24"/>
          <w:szCs w:val="24"/>
        </w:rPr>
        <w:sectPr>
          <w:pgSz w:w="11906" w:h="16838"/>
          <w:pgMar w:top="1083" w:right="1440" w:bottom="1083" w:left="1440" w:header="851" w:footer="992" w:gutter="0"/>
          <w:cols w:space="720" w:num="1"/>
          <w:docGrid w:type="lines" w:linePitch="473" w:charSpace="0"/>
        </w:sectPr>
      </w:pPr>
    </w:p>
    <w:p/>
    <w:p>
      <w:pPr>
        <w:pStyle w:val="2"/>
        <w:snapToGrid w:val="0"/>
        <w:spacing w:before="0" w:after="283" w:afterLines="60" w:line="360" w:lineRule="auto"/>
        <w:jc w:val="center"/>
        <w:rPr>
          <w:rFonts w:hAnsi="宋体"/>
          <w:sz w:val="32"/>
          <w:szCs w:val="32"/>
        </w:rPr>
      </w:pPr>
      <w:r>
        <w:rPr>
          <w:rFonts w:hint="eastAsia" w:hAnsi="宋体"/>
          <w:sz w:val="32"/>
          <w:szCs w:val="32"/>
        </w:rPr>
        <w:t>第四章</w:t>
      </w:r>
      <w:r>
        <w:rPr>
          <w:rFonts w:hAnsi="宋体"/>
          <w:sz w:val="32"/>
          <w:szCs w:val="32"/>
        </w:rPr>
        <w:t xml:space="preserve">  </w:t>
      </w:r>
      <w:r>
        <w:rPr>
          <w:rFonts w:hint="eastAsia" w:hAnsi="宋体"/>
          <w:sz w:val="32"/>
          <w:szCs w:val="32"/>
        </w:rPr>
        <w:t>招标项目技术、商务及其他要求</w:t>
      </w:r>
    </w:p>
    <w:tbl>
      <w:tblPr>
        <w:tblStyle w:val="20"/>
        <w:tblW w:w="931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3"/>
        <w:gridCol w:w="76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1663" w:type="dxa"/>
            <w:vAlign w:val="center"/>
          </w:tcPr>
          <w:p>
            <w:pPr>
              <w:spacing w:line="360" w:lineRule="exact"/>
              <w:jc w:val="center"/>
              <w:rPr>
                <w:rFonts w:hAnsi="宋体"/>
                <w:sz w:val="24"/>
                <w:szCs w:val="24"/>
              </w:rPr>
            </w:pPr>
            <w:r>
              <w:rPr>
                <w:rFonts w:hint="eastAsia" w:hAnsi="宋体"/>
                <w:sz w:val="24"/>
                <w:szCs w:val="24"/>
              </w:rPr>
              <w:t>项目名称</w:t>
            </w:r>
          </w:p>
        </w:tc>
        <w:tc>
          <w:tcPr>
            <w:tcW w:w="7652" w:type="dxa"/>
            <w:vAlign w:val="center"/>
          </w:tcPr>
          <w:p>
            <w:pPr>
              <w:spacing w:line="360" w:lineRule="auto"/>
              <w:jc w:val="center"/>
              <w:rPr>
                <w:rFonts w:hAnsi="宋体"/>
                <w:sz w:val="24"/>
                <w:szCs w:val="24"/>
              </w:rPr>
            </w:pPr>
            <w:r>
              <w:rPr>
                <w:rFonts w:hint="eastAsia" w:hAnsi="宋体"/>
                <w:sz w:val="24"/>
                <w:szCs w:val="24"/>
              </w:rPr>
              <w:t>官网三级保护测评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1663" w:type="dxa"/>
            <w:vAlign w:val="center"/>
          </w:tcPr>
          <w:p>
            <w:pPr>
              <w:spacing w:line="360" w:lineRule="exact"/>
              <w:jc w:val="center"/>
              <w:rPr>
                <w:rFonts w:hAnsi="宋体"/>
                <w:sz w:val="24"/>
                <w:szCs w:val="24"/>
              </w:rPr>
            </w:pPr>
            <w:r>
              <w:rPr>
                <w:rFonts w:hint="eastAsia" w:hAnsi="宋体"/>
                <w:sz w:val="24"/>
                <w:szCs w:val="24"/>
              </w:rPr>
              <w:t>详细技术参数</w:t>
            </w:r>
          </w:p>
          <w:p>
            <w:pPr>
              <w:spacing w:line="360" w:lineRule="exact"/>
              <w:jc w:val="center"/>
              <w:rPr>
                <w:rFonts w:hAnsi="宋体"/>
                <w:sz w:val="24"/>
                <w:szCs w:val="24"/>
              </w:rPr>
            </w:pPr>
            <w:r>
              <w:rPr>
                <w:rFonts w:hint="eastAsia" w:hAnsi="宋体"/>
                <w:sz w:val="24"/>
                <w:szCs w:val="24"/>
              </w:rPr>
              <w:t>（包括：规格、型号、数量、技术要求和售后服务要求等）</w:t>
            </w:r>
          </w:p>
        </w:tc>
        <w:tc>
          <w:tcPr>
            <w:tcW w:w="7652" w:type="dxa"/>
            <w:tcBorders>
              <w:bottom w:val="single" w:color="auto" w:sz="4" w:space="0"/>
            </w:tcBorders>
            <w:vAlign w:val="center"/>
          </w:tcPr>
          <w:p>
            <w:pPr>
              <w:jc w:val="left"/>
              <w:rPr>
                <w:rFonts w:ascii="仿宋" w:hAnsi="仿宋" w:eastAsia="仿宋"/>
                <w:b/>
                <w:bCs/>
                <w:sz w:val="24"/>
                <w:szCs w:val="24"/>
              </w:rPr>
            </w:pPr>
            <w:r>
              <w:rPr>
                <w:rFonts w:hint="eastAsia" w:ascii="仿宋" w:hAnsi="仿宋" w:eastAsia="仿宋"/>
                <w:b/>
                <w:bCs/>
                <w:sz w:val="24"/>
                <w:szCs w:val="24"/>
              </w:rPr>
              <w:t>（一）项目概述：</w:t>
            </w:r>
          </w:p>
          <w:p>
            <w:pPr>
              <w:ind w:firstLine="480" w:firstLineChars="200"/>
              <w:jc w:val="left"/>
              <w:rPr>
                <w:rFonts w:ascii="仿宋" w:hAnsi="仿宋" w:eastAsia="仿宋"/>
                <w:sz w:val="24"/>
                <w:szCs w:val="24"/>
              </w:rPr>
            </w:pPr>
            <w:r>
              <w:rPr>
                <w:rFonts w:hint="eastAsia" w:ascii="仿宋" w:hAnsi="仿宋" w:eastAsia="仿宋"/>
                <w:sz w:val="24"/>
                <w:szCs w:val="24"/>
              </w:rPr>
              <w:t>为了落实公安部、网信办以及教育厅对高校应用系统安全等级保护要求，进一步增强系统安全防护能力，确保系统安全稳定运行，防止因系统安全事件引发安全事故依据《信息安全技术 网络安全等级保护基本要求》（GB/T 22239-2019）、《信息安全等级保护管理办法》（公通字[2007]43号）和《中华人民共和国网络安全法》等标准规范，四川铁道职业学校现拟招一家供应商提供等保测评服务。</w:t>
            </w:r>
          </w:p>
          <w:p>
            <w:pPr>
              <w:ind w:firstLine="480" w:firstLineChars="200"/>
              <w:jc w:val="left"/>
              <w:rPr>
                <w:rFonts w:ascii="仿宋" w:hAnsi="仿宋" w:eastAsia="仿宋"/>
                <w:sz w:val="24"/>
                <w:szCs w:val="24"/>
              </w:rPr>
            </w:pPr>
            <w:r>
              <w:rPr>
                <w:rFonts w:hint="eastAsia" w:ascii="仿宋" w:hAnsi="仿宋" w:eastAsia="仿宋"/>
                <w:sz w:val="24"/>
                <w:szCs w:val="24"/>
              </w:rPr>
              <w:t>本项目测评的对象：</w:t>
            </w:r>
          </w:p>
          <w:tbl>
            <w:tblPr>
              <w:tblStyle w:val="20"/>
              <w:tblW w:w="5958" w:type="dxa"/>
              <w:tblInd w:w="7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0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系统名称</w:t>
                  </w:r>
                </w:p>
              </w:tc>
              <w:tc>
                <w:tcPr>
                  <w:tcW w:w="2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安全等级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30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四川铁道职业学院官网</w:t>
                  </w:r>
                </w:p>
              </w:tc>
              <w:tc>
                <w:tcPr>
                  <w:tcW w:w="2863"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szCs w:val="24"/>
                    </w:rPr>
                  </w:pPr>
                  <w:r>
                    <w:rPr>
                      <w:rFonts w:hint="eastAsia" w:ascii="仿宋" w:hAnsi="仿宋" w:eastAsia="仿宋" w:cs="仿宋"/>
                      <w:sz w:val="24"/>
                      <w:szCs w:val="24"/>
                    </w:rPr>
                    <w:t>三级</w:t>
                  </w:r>
                </w:p>
              </w:tc>
            </w:tr>
          </w:tbl>
          <w:p>
            <w:pPr>
              <w:ind w:firstLine="480" w:firstLineChars="200"/>
              <w:jc w:val="left"/>
              <w:rPr>
                <w:sz w:val="24"/>
                <w:szCs w:val="24"/>
              </w:rPr>
            </w:pPr>
            <w:r>
              <w:rPr>
                <w:rFonts w:hint="eastAsia" w:ascii="仿宋" w:hAnsi="仿宋" w:eastAsia="仿宋"/>
                <w:sz w:val="24"/>
                <w:szCs w:val="24"/>
              </w:rPr>
              <w:t>项目目标</w:t>
            </w:r>
            <w:r>
              <w:rPr>
                <w:rFonts w:ascii="仿宋" w:hAnsi="仿宋" w:eastAsia="仿宋"/>
                <w:sz w:val="24"/>
                <w:szCs w:val="24"/>
              </w:rPr>
              <w:t>:</w:t>
            </w:r>
            <w:r>
              <w:rPr>
                <w:rFonts w:hint="eastAsia"/>
                <w:sz w:val="24"/>
                <w:szCs w:val="24"/>
              </w:rPr>
              <w:t xml:space="preserve"> </w:t>
            </w:r>
          </w:p>
          <w:p>
            <w:pPr>
              <w:ind w:firstLine="480" w:firstLineChars="200"/>
              <w:jc w:val="left"/>
              <w:rPr>
                <w:rFonts w:ascii="仿宋" w:hAnsi="仿宋" w:eastAsia="仿宋"/>
                <w:sz w:val="24"/>
                <w:szCs w:val="24"/>
              </w:rPr>
            </w:pPr>
            <w:r>
              <w:rPr>
                <w:rFonts w:hint="eastAsia" w:ascii="仿宋" w:hAnsi="仿宋" w:eastAsia="仿宋"/>
                <w:sz w:val="24"/>
                <w:szCs w:val="24"/>
              </w:rPr>
              <w:t>依据国家和行业信息安全的相关标准，全面了解和掌握系统现有安全状况，找出其与《网络安全等级保护基本要求（GBT22239-2019）》对应级别的差距，及时发现系统存在的安全问题；针对等级保护测评中发现的各种安全风险，测评项目组提出适宜的安全整改建议，最终提交该系统等级保护测评报告。有效提升目标系统及其所在核心网络抵御物理损害、恶意攻击的能力。</w:t>
            </w:r>
          </w:p>
          <w:p>
            <w:pPr>
              <w:ind w:firstLine="480" w:firstLineChars="200"/>
              <w:jc w:val="left"/>
              <w:rPr>
                <w:rFonts w:ascii="仿宋" w:hAnsi="仿宋" w:eastAsia="仿宋"/>
                <w:sz w:val="24"/>
                <w:szCs w:val="24"/>
              </w:rPr>
            </w:pPr>
            <w:r>
              <w:rPr>
                <w:rFonts w:hint="eastAsia" w:ascii="仿宋" w:hAnsi="仿宋" w:eastAsia="仿宋"/>
                <w:sz w:val="24"/>
                <w:szCs w:val="24"/>
              </w:rPr>
              <w:t>项目依据：</w:t>
            </w:r>
          </w:p>
          <w:p>
            <w:pPr>
              <w:ind w:firstLine="480" w:firstLineChars="200"/>
              <w:jc w:val="left"/>
              <w:rPr>
                <w:rFonts w:ascii="仿宋" w:hAnsi="仿宋" w:eastAsia="仿宋"/>
                <w:sz w:val="24"/>
                <w:szCs w:val="24"/>
              </w:rPr>
            </w:pPr>
            <w:r>
              <w:rPr>
                <w:rFonts w:hint="eastAsia" w:ascii="仿宋" w:hAnsi="仿宋" w:eastAsia="仿宋"/>
                <w:sz w:val="24"/>
                <w:szCs w:val="24"/>
              </w:rPr>
              <w:t>此次依据的标准包括但不限于以下内容：</w:t>
            </w:r>
          </w:p>
          <w:p>
            <w:pPr>
              <w:ind w:firstLine="480" w:firstLineChars="200"/>
              <w:jc w:val="left"/>
              <w:rPr>
                <w:rFonts w:ascii="仿宋" w:hAnsi="仿宋" w:eastAsia="仿宋"/>
                <w:sz w:val="24"/>
                <w:szCs w:val="24"/>
              </w:rPr>
            </w:pPr>
            <w:r>
              <w:rPr>
                <w:rFonts w:hint="eastAsia" w:ascii="仿宋" w:hAnsi="仿宋" w:eastAsia="仿宋"/>
                <w:sz w:val="24"/>
                <w:szCs w:val="24"/>
              </w:rPr>
              <w:t>1）《信息安全等级保护管理办法》（公通字[2007]43号）</w:t>
            </w:r>
          </w:p>
          <w:p>
            <w:pPr>
              <w:ind w:firstLine="480" w:firstLineChars="200"/>
              <w:jc w:val="left"/>
              <w:rPr>
                <w:rFonts w:ascii="仿宋" w:hAnsi="仿宋" w:eastAsia="仿宋"/>
                <w:sz w:val="24"/>
                <w:szCs w:val="24"/>
              </w:rPr>
            </w:pPr>
            <w:r>
              <w:rPr>
                <w:rFonts w:hint="eastAsia" w:ascii="仿宋" w:hAnsi="仿宋" w:eastAsia="仿宋"/>
                <w:sz w:val="24"/>
                <w:szCs w:val="24"/>
              </w:rPr>
              <w:t>2）《信息安全技术信息系统安全等级保护基本要求》GB/T 22239-2019</w:t>
            </w:r>
          </w:p>
          <w:p>
            <w:pPr>
              <w:ind w:firstLine="480" w:firstLineChars="200"/>
              <w:jc w:val="left"/>
              <w:rPr>
                <w:rFonts w:ascii="仿宋" w:hAnsi="仿宋" w:eastAsia="仿宋"/>
                <w:sz w:val="24"/>
                <w:szCs w:val="24"/>
              </w:rPr>
            </w:pPr>
            <w:r>
              <w:rPr>
                <w:rFonts w:hint="eastAsia" w:ascii="仿宋" w:hAnsi="仿宋" w:eastAsia="仿宋"/>
                <w:sz w:val="24"/>
                <w:szCs w:val="24"/>
              </w:rPr>
              <w:t>3）《信息安全技术信息系统安全等级保护定级指南》GB/T 22240-2008</w:t>
            </w:r>
          </w:p>
          <w:p>
            <w:pPr>
              <w:ind w:firstLine="480" w:firstLineChars="200"/>
              <w:jc w:val="left"/>
              <w:rPr>
                <w:rFonts w:ascii="仿宋" w:hAnsi="仿宋" w:eastAsia="仿宋"/>
                <w:sz w:val="24"/>
                <w:szCs w:val="24"/>
              </w:rPr>
            </w:pPr>
            <w:r>
              <w:rPr>
                <w:rFonts w:hint="eastAsia" w:ascii="仿宋" w:hAnsi="仿宋" w:eastAsia="仿宋"/>
                <w:sz w:val="24"/>
                <w:szCs w:val="24"/>
              </w:rPr>
              <w:t>4）《信息安全技术信息系统安全等级保护实施指南》GB/T 25058-2010</w:t>
            </w:r>
          </w:p>
          <w:p>
            <w:pPr>
              <w:ind w:firstLine="480" w:firstLineChars="200"/>
              <w:jc w:val="left"/>
              <w:rPr>
                <w:rFonts w:ascii="仿宋" w:hAnsi="仿宋" w:eastAsia="仿宋"/>
                <w:sz w:val="24"/>
                <w:szCs w:val="24"/>
              </w:rPr>
            </w:pPr>
            <w:r>
              <w:rPr>
                <w:rFonts w:hint="eastAsia" w:ascii="仿宋" w:hAnsi="仿宋" w:eastAsia="仿宋"/>
                <w:sz w:val="24"/>
                <w:szCs w:val="24"/>
              </w:rPr>
              <w:t>5）《信息安全技术信息安全风险评估规范》GB/T 20984-2007</w:t>
            </w:r>
          </w:p>
          <w:p>
            <w:pPr>
              <w:ind w:firstLine="480" w:firstLineChars="200"/>
              <w:jc w:val="left"/>
              <w:rPr>
                <w:rFonts w:ascii="仿宋" w:hAnsi="仿宋" w:eastAsia="仿宋"/>
                <w:sz w:val="24"/>
                <w:szCs w:val="24"/>
              </w:rPr>
            </w:pPr>
            <w:r>
              <w:rPr>
                <w:rFonts w:hint="eastAsia" w:ascii="仿宋" w:hAnsi="仿宋" w:eastAsia="仿宋"/>
                <w:sz w:val="24"/>
                <w:szCs w:val="24"/>
              </w:rPr>
              <w:t>6）《信息安全技术信息系统安全等级保护测评要求》GB/T 28448-2019</w:t>
            </w:r>
          </w:p>
          <w:p>
            <w:pPr>
              <w:ind w:firstLine="480" w:firstLineChars="200"/>
              <w:jc w:val="left"/>
              <w:rPr>
                <w:rFonts w:ascii="仿宋" w:hAnsi="仿宋" w:eastAsia="仿宋"/>
                <w:sz w:val="24"/>
                <w:szCs w:val="24"/>
              </w:rPr>
            </w:pPr>
            <w:r>
              <w:rPr>
                <w:rFonts w:hint="eastAsia" w:ascii="仿宋" w:hAnsi="仿宋" w:eastAsia="仿宋"/>
                <w:sz w:val="24"/>
                <w:szCs w:val="24"/>
              </w:rPr>
              <w:t>7）《信息安全技术信息系统安全等级保护测评过程指南》GB/T 8449-2018</w:t>
            </w:r>
          </w:p>
          <w:p>
            <w:pPr>
              <w:ind w:firstLine="480" w:firstLineChars="200"/>
              <w:jc w:val="left"/>
              <w:rPr>
                <w:rFonts w:ascii="仿宋" w:hAnsi="仿宋" w:eastAsia="仿宋"/>
                <w:sz w:val="24"/>
                <w:szCs w:val="24"/>
              </w:rPr>
            </w:pPr>
            <w:r>
              <w:rPr>
                <w:rFonts w:hint="eastAsia" w:ascii="仿宋" w:hAnsi="仿宋" w:eastAsia="仿宋"/>
                <w:sz w:val="24"/>
                <w:szCs w:val="24"/>
              </w:rPr>
              <w:t>8）《中华人民共和国网络安全法》</w:t>
            </w:r>
          </w:p>
          <w:p>
            <w:pPr>
              <w:jc w:val="left"/>
              <w:rPr>
                <w:rFonts w:ascii="仿宋" w:hAnsi="仿宋" w:eastAsia="仿宋"/>
                <w:b/>
                <w:bCs/>
                <w:sz w:val="24"/>
                <w:szCs w:val="24"/>
              </w:rPr>
            </w:pPr>
            <w:r>
              <w:rPr>
                <w:rFonts w:hint="eastAsia" w:ascii="仿宋" w:hAnsi="仿宋" w:eastAsia="仿宋"/>
                <w:b/>
                <w:bCs/>
                <w:sz w:val="24"/>
                <w:szCs w:val="24"/>
              </w:rPr>
              <w:t>（二）项目技术参数要求</w:t>
            </w:r>
          </w:p>
          <w:p>
            <w:pPr>
              <w:ind w:firstLine="480" w:firstLineChars="200"/>
              <w:jc w:val="left"/>
              <w:rPr>
                <w:rFonts w:ascii="仿宋" w:hAnsi="仿宋" w:eastAsia="仿宋"/>
                <w:sz w:val="24"/>
                <w:szCs w:val="24"/>
              </w:rPr>
            </w:pPr>
            <w:r>
              <w:rPr>
                <w:rFonts w:hint="eastAsia" w:ascii="仿宋" w:hAnsi="仿宋" w:eastAsia="仿宋"/>
                <w:sz w:val="24"/>
                <w:szCs w:val="24"/>
              </w:rPr>
              <w:t>1.测评要求</w:t>
            </w:r>
          </w:p>
          <w:p>
            <w:pPr>
              <w:ind w:firstLine="480" w:firstLineChars="200"/>
              <w:jc w:val="left"/>
              <w:rPr>
                <w:rFonts w:ascii="仿宋" w:hAnsi="仿宋" w:eastAsia="仿宋"/>
                <w:bCs/>
                <w:sz w:val="24"/>
                <w:szCs w:val="24"/>
              </w:rPr>
            </w:pPr>
            <w:r>
              <w:rPr>
                <w:rFonts w:hint="eastAsia" w:ascii="仿宋" w:hAnsi="仿宋" w:eastAsia="仿宋"/>
                <w:bCs/>
                <w:sz w:val="24"/>
                <w:szCs w:val="24"/>
              </w:rPr>
              <w:t>根据项目需求，为保障信息安全现场测评过程安全可控，明确测评人员职责分配、规范测评人员操作，保障测评结果有效，至少包括以下几个流程：</w:t>
            </w:r>
          </w:p>
          <w:tbl>
            <w:tblPr>
              <w:tblStyle w:val="20"/>
              <w:tblW w:w="73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821"/>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4"/>
                      <w:szCs w:val="24"/>
                    </w:rPr>
                  </w:pPr>
                  <w:r>
                    <w:rPr>
                      <w:rFonts w:hint="eastAsia" w:ascii="仿宋" w:hAnsi="仿宋" w:eastAsia="仿宋" w:cs="仿宋"/>
                      <w:b/>
                      <w:sz w:val="24"/>
                      <w:szCs w:val="24"/>
                    </w:rPr>
                    <w:t>序号</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4"/>
                      <w:szCs w:val="24"/>
                    </w:rPr>
                  </w:pPr>
                  <w:r>
                    <w:rPr>
                      <w:rFonts w:hint="eastAsia" w:ascii="仿宋" w:hAnsi="仿宋" w:eastAsia="仿宋" w:cs="仿宋"/>
                      <w:b/>
                      <w:sz w:val="24"/>
                      <w:szCs w:val="24"/>
                    </w:rPr>
                    <w:t>关键实施阶段</w:t>
                  </w:r>
                </w:p>
              </w:tc>
              <w:tc>
                <w:tcPr>
                  <w:tcW w:w="48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4"/>
                      <w:szCs w:val="24"/>
                    </w:rPr>
                  </w:pPr>
                  <w:r>
                    <w:rPr>
                      <w:rFonts w:hint="eastAsia" w:ascii="仿宋" w:hAnsi="仿宋" w:eastAsia="仿宋" w:cs="仿宋"/>
                      <w:b/>
                      <w:sz w:val="24"/>
                      <w:szCs w:val="24"/>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182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sz w:val="24"/>
                      <w:szCs w:val="24"/>
                    </w:rPr>
                  </w:pPr>
                  <w:r>
                    <w:rPr>
                      <w:rFonts w:hint="eastAsia" w:ascii="仿宋" w:hAnsi="仿宋" w:eastAsia="仿宋" w:cs="仿宋"/>
                      <w:sz w:val="24"/>
                      <w:szCs w:val="24"/>
                    </w:rPr>
                    <w:t>确定测评范围</w:t>
                  </w:r>
                </w:p>
              </w:tc>
              <w:tc>
                <w:tcPr>
                  <w:tcW w:w="481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sz w:val="24"/>
                      <w:szCs w:val="24"/>
                    </w:rPr>
                  </w:pPr>
                  <w:r>
                    <w:rPr>
                      <w:rFonts w:hint="eastAsia" w:ascii="仿宋" w:hAnsi="仿宋" w:eastAsia="仿宋" w:cs="仿宋"/>
                      <w:sz w:val="24"/>
                      <w:szCs w:val="24"/>
                    </w:rPr>
                    <w:t>明确本次被测评信息系统的范围，包括每个信息系统的范围、信息系统的边界等。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182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szCs w:val="24"/>
                    </w:rPr>
                  </w:pPr>
                  <w:r>
                    <w:rPr>
                      <w:rFonts w:hint="eastAsia" w:ascii="仿宋" w:hAnsi="仿宋" w:eastAsia="仿宋" w:cs="仿宋"/>
                      <w:sz w:val="24"/>
                      <w:szCs w:val="24"/>
                    </w:rPr>
                    <w:t>获得信息系统的信息</w:t>
                  </w:r>
                </w:p>
              </w:tc>
              <w:tc>
                <w:tcPr>
                  <w:tcW w:w="481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szCs w:val="24"/>
                    </w:rPr>
                  </w:pPr>
                  <w:r>
                    <w:rPr>
                      <w:rFonts w:hint="eastAsia" w:ascii="仿宋" w:hAnsi="仿宋" w:eastAsia="仿宋" w:cs="仿宋"/>
                      <w:sz w:val="24"/>
                      <w:szCs w:val="24"/>
                    </w:rPr>
                    <w:t>通过调查或查阅资料的方式，了解被测评信息系统的构成，包括网络拓扑、业务应用、业务流程、设备信息、安全措施状况等。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3</w:t>
                  </w:r>
                </w:p>
              </w:tc>
              <w:tc>
                <w:tcPr>
                  <w:tcW w:w="182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szCs w:val="24"/>
                    </w:rPr>
                  </w:pPr>
                  <w:r>
                    <w:rPr>
                      <w:rFonts w:hint="eastAsia" w:ascii="仿宋" w:hAnsi="仿宋" w:eastAsia="仿宋" w:cs="仿宋"/>
                      <w:sz w:val="24"/>
                      <w:szCs w:val="24"/>
                    </w:rPr>
                    <w:t>确定具体的测评对象</w:t>
                  </w:r>
                </w:p>
              </w:tc>
              <w:tc>
                <w:tcPr>
                  <w:tcW w:w="481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szCs w:val="24"/>
                    </w:rPr>
                  </w:pPr>
                  <w:r>
                    <w:rPr>
                      <w:rFonts w:hint="eastAsia" w:ascii="仿宋" w:hAnsi="仿宋" w:eastAsia="仿宋" w:cs="仿宋"/>
                      <w:sz w:val="24"/>
                      <w:szCs w:val="24"/>
                    </w:rPr>
                    <w:t>初步确定每个信息系统的被测评对象，包括整体对象，如机房、办公环境、网络等，也包括具体对象，如边界设备、网关设备、服务器设备、工作站、应用系统等。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4</w:t>
                  </w:r>
                </w:p>
              </w:tc>
              <w:tc>
                <w:tcPr>
                  <w:tcW w:w="182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szCs w:val="24"/>
                    </w:rPr>
                  </w:pPr>
                  <w:r>
                    <w:rPr>
                      <w:rFonts w:hint="eastAsia" w:ascii="仿宋" w:hAnsi="仿宋" w:eastAsia="仿宋" w:cs="仿宋"/>
                      <w:sz w:val="24"/>
                      <w:szCs w:val="24"/>
                    </w:rPr>
                    <w:t>确定测评工作的方法</w:t>
                  </w:r>
                </w:p>
              </w:tc>
              <w:tc>
                <w:tcPr>
                  <w:tcW w:w="481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szCs w:val="24"/>
                    </w:rPr>
                  </w:pPr>
                  <w:r>
                    <w:rPr>
                      <w:rFonts w:hint="eastAsia" w:ascii="仿宋" w:hAnsi="仿宋" w:eastAsia="仿宋" w:cs="仿宋"/>
                      <w:sz w:val="24"/>
                      <w:szCs w:val="24"/>
                    </w:rPr>
                    <w:t>根据信息系统安全等级情况、系统规模大小等，明确本次测评的方法。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5</w:t>
                  </w:r>
                </w:p>
              </w:tc>
              <w:tc>
                <w:tcPr>
                  <w:tcW w:w="182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szCs w:val="24"/>
                    </w:rPr>
                  </w:pPr>
                  <w:r>
                    <w:rPr>
                      <w:rFonts w:hint="eastAsia" w:ascii="仿宋" w:hAnsi="仿宋" w:eastAsia="仿宋" w:cs="仿宋"/>
                      <w:sz w:val="24"/>
                      <w:szCs w:val="24"/>
                    </w:rPr>
                    <w:t>制定测评工作计划</w:t>
                  </w:r>
                </w:p>
              </w:tc>
              <w:tc>
                <w:tcPr>
                  <w:tcW w:w="481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szCs w:val="24"/>
                    </w:rPr>
                  </w:pPr>
                  <w:r>
                    <w:rPr>
                      <w:rFonts w:hint="eastAsia" w:ascii="仿宋" w:hAnsi="仿宋" w:eastAsia="仿宋" w:cs="仿宋"/>
                      <w:sz w:val="24"/>
                      <w:szCs w:val="24"/>
                    </w:rPr>
                    <w:t>制定测评工作计划或方案，说明测评范围、测评对象、工作方法、人员组成、角色职责、时间计划等。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6</w:t>
                  </w:r>
                </w:p>
              </w:tc>
              <w:tc>
                <w:tcPr>
                  <w:tcW w:w="182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szCs w:val="24"/>
                    </w:rPr>
                  </w:pPr>
                  <w:r>
                    <w:rPr>
                      <w:rFonts w:hint="eastAsia" w:ascii="仿宋" w:hAnsi="仿宋" w:eastAsia="仿宋" w:cs="仿宋"/>
                      <w:sz w:val="24"/>
                      <w:szCs w:val="24"/>
                    </w:rPr>
                    <w:t>实施等级保护测评</w:t>
                  </w:r>
                </w:p>
              </w:tc>
              <w:tc>
                <w:tcPr>
                  <w:tcW w:w="481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szCs w:val="24"/>
                    </w:rPr>
                  </w:pPr>
                  <w:r>
                    <w:rPr>
                      <w:rFonts w:hint="eastAsia" w:ascii="仿宋" w:hAnsi="仿宋" w:eastAsia="仿宋" w:cs="仿宋"/>
                      <w:sz w:val="24"/>
                      <w:szCs w:val="24"/>
                    </w:rPr>
                    <w:t>实施测评，包括人工检查、工具扫描等方式。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7</w:t>
                  </w:r>
                </w:p>
              </w:tc>
              <w:tc>
                <w:tcPr>
                  <w:tcW w:w="182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szCs w:val="24"/>
                    </w:rPr>
                  </w:pPr>
                  <w:r>
                    <w:rPr>
                      <w:rFonts w:hint="eastAsia" w:ascii="仿宋" w:hAnsi="仿宋" w:eastAsia="仿宋" w:cs="仿宋"/>
                      <w:sz w:val="24"/>
                      <w:szCs w:val="24"/>
                    </w:rPr>
                    <w:t>项目总结</w:t>
                  </w:r>
                </w:p>
              </w:tc>
              <w:tc>
                <w:tcPr>
                  <w:tcW w:w="481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szCs w:val="24"/>
                    </w:rPr>
                  </w:pPr>
                  <w:r>
                    <w:rPr>
                      <w:rFonts w:hint="eastAsia" w:ascii="仿宋" w:hAnsi="仿宋" w:eastAsia="仿宋" w:cs="仿宋"/>
                      <w:sz w:val="24"/>
                      <w:szCs w:val="24"/>
                    </w:rPr>
                    <w:t>对测评结果进行总结、汇报</w:t>
                  </w:r>
                </w:p>
              </w:tc>
            </w:tr>
          </w:tbl>
          <w:p>
            <w:pPr>
              <w:ind w:firstLine="480" w:firstLineChars="200"/>
              <w:jc w:val="left"/>
              <w:rPr>
                <w:rFonts w:ascii="仿宋" w:hAnsi="仿宋" w:eastAsia="仿宋"/>
                <w:bCs/>
                <w:sz w:val="24"/>
                <w:szCs w:val="24"/>
              </w:rPr>
            </w:pPr>
            <w:r>
              <w:rPr>
                <w:rFonts w:hint="eastAsia" w:ascii="仿宋" w:hAnsi="仿宋" w:eastAsia="仿宋"/>
                <w:bCs/>
                <w:sz w:val="24"/>
                <w:szCs w:val="24"/>
              </w:rPr>
              <w:t>2.测评内容</w:t>
            </w:r>
          </w:p>
          <w:p>
            <w:pPr>
              <w:ind w:firstLine="480" w:firstLineChars="200"/>
              <w:jc w:val="left"/>
              <w:rPr>
                <w:rFonts w:ascii="仿宋" w:hAnsi="仿宋" w:eastAsia="仿宋"/>
                <w:bCs/>
                <w:sz w:val="24"/>
                <w:szCs w:val="24"/>
              </w:rPr>
            </w:pPr>
            <w:r>
              <w:rPr>
                <w:rFonts w:hint="eastAsia" w:ascii="仿宋" w:hAnsi="仿宋" w:eastAsia="仿宋"/>
                <w:bCs/>
                <w:sz w:val="24"/>
                <w:szCs w:val="24"/>
              </w:rPr>
              <w:t>按照网络安全等级保护测评依据开展测评工作（包括不限于以下项目）：</w:t>
            </w:r>
          </w:p>
          <w:p>
            <w:pPr>
              <w:pStyle w:val="75"/>
              <w:ind w:firstLine="480"/>
              <w:rPr>
                <w:rFonts w:ascii="仿宋" w:hAnsi="仿宋" w:eastAsia="仿宋" w:cs="宋体"/>
                <w:szCs w:val="24"/>
              </w:rPr>
            </w:pPr>
            <w:r>
              <w:rPr>
                <w:rFonts w:hint="eastAsia" w:ascii="仿宋" w:hAnsi="仿宋" w:eastAsia="仿宋" w:cs="宋体"/>
                <w:szCs w:val="24"/>
              </w:rPr>
              <w:t>（1）安全</w:t>
            </w:r>
            <w:r>
              <w:rPr>
                <w:rFonts w:hint="eastAsia" w:ascii="仿宋" w:hAnsi="仿宋" w:eastAsia="仿宋"/>
                <w:szCs w:val="24"/>
                <w:lang w:val="zh-CN"/>
              </w:rPr>
              <w:t>物理环境</w:t>
            </w:r>
          </w:p>
          <w:p>
            <w:pPr>
              <w:pStyle w:val="75"/>
              <w:ind w:firstLine="480"/>
              <w:rPr>
                <w:rFonts w:ascii="仿宋" w:hAnsi="仿宋" w:eastAsia="仿宋" w:cs="宋体"/>
                <w:szCs w:val="24"/>
              </w:rPr>
            </w:pPr>
            <w:r>
              <w:rPr>
                <w:rFonts w:hint="eastAsia" w:ascii="仿宋" w:hAnsi="仿宋" w:eastAsia="仿宋" w:cs="宋体"/>
                <w:szCs w:val="24"/>
              </w:rPr>
              <w:t>安全物理环境检查主要是了解</w:t>
            </w:r>
            <w:r>
              <w:rPr>
                <w:rFonts w:hint="eastAsia" w:ascii="仿宋" w:hAnsi="仿宋" w:eastAsia="仿宋"/>
                <w:szCs w:val="24"/>
                <w:lang w:val="zh-CN"/>
              </w:rPr>
              <w:t>信息系统</w:t>
            </w:r>
            <w:r>
              <w:rPr>
                <w:rFonts w:hint="eastAsia" w:ascii="仿宋" w:hAnsi="仿宋" w:eastAsia="仿宋" w:cs="宋体"/>
                <w:szCs w:val="24"/>
              </w:rPr>
              <w:t>的物理安全保障情况，涉及对象为机房。在内容上，安全物理环境层面测评实施过程涉及的工作单元，具体如下表：</w:t>
            </w:r>
          </w:p>
          <w:p>
            <w:pPr>
              <w:spacing w:before="236" w:beforeLines="50" w:after="236" w:afterLines="50" w:line="276" w:lineRule="auto"/>
              <w:ind w:firstLine="360" w:firstLineChars="150"/>
              <w:jc w:val="center"/>
              <w:rPr>
                <w:rFonts w:ascii="仿宋" w:hAnsi="仿宋" w:eastAsia="仿宋" w:cs="宋体"/>
                <w:sz w:val="24"/>
                <w:szCs w:val="24"/>
              </w:rPr>
            </w:pPr>
            <w:r>
              <w:rPr>
                <w:rFonts w:hint="eastAsia" w:ascii="仿宋" w:hAnsi="仿宋" w:eastAsia="仿宋" w:cs="宋体"/>
                <w:sz w:val="24"/>
                <w:szCs w:val="24"/>
              </w:rPr>
              <w:t>表</w:t>
            </w:r>
            <w:r>
              <w:rPr>
                <w:rFonts w:ascii="仿宋" w:hAnsi="仿宋" w:eastAsia="仿宋" w:cs="宋体"/>
                <w:sz w:val="24"/>
                <w:szCs w:val="24"/>
              </w:rPr>
              <w:t xml:space="preserve">1 </w:t>
            </w:r>
            <w:r>
              <w:rPr>
                <w:rFonts w:hint="eastAsia" w:ascii="仿宋" w:hAnsi="仿宋" w:eastAsia="仿宋" w:cs="宋体"/>
                <w:sz w:val="24"/>
                <w:szCs w:val="24"/>
              </w:rPr>
              <w:t>安全物理环境测评内容</w:t>
            </w:r>
          </w:p>
          <w:tbl>
            <w:tblPr>
              <w:tblStyle w:val="20"/>
              <w:tblW w:w="7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953"/>
              <w:gridCol w:w="4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shd w:val="clear" w:color="000000" w:fill="FFFFFF"/>
                  <w:vAlign w:val="center"/>
                </w:tcPr>
                <w:p>
                  <w:pPr>
                    <w:rPr>
                      <w:rFonts w:ascii="仿宋" w:hAnsi="仿宋" w:eastAsia="仿宋" w:cs="宋体"/>
                      <w:b/>
                      <w:bCs/>
                      <w:sz w:val="24"/>
                      <w:szCs w:val="24"/>
                    </w:rPr>
                  </w:pPr>
                  <w:r>
                    <w:rPr>
                      <w:rFonts w:hint="eastAsia" w:ascii="仿宋" w:hAnsi="仿宋" w:eastAsia="仿宋" w:cs="宋体"/>
                      <w:b/>
                      <w:bCs/>
                      <w:sz w:val="24"/>
                      <w:szCs w:val="24"/>
                    </w:rPr>
                    <w:t>序号</w:t>
                  </w:r>
                </w:p>
              </w:tc>
              <w:tc>
                <w:tcPr>
                  <w:tcW w:w="1953" w:type="dxa"/>
                  <w:shd w:val="clear" w:color="000000" w:fill="FFFFFF"/>
                  <w:vAlign w:val="center"/>
                </w:tcPr>
                <w:p>
                  <w:pPr>
                    <w:jc w:val="center"/>
                    <w:rPr>
                      <w:rFonts w:ascii="仿宋" w:hAnsi="仿宋" w:eastAsia="仿宋" w:cs="宋体"/>
                      <w:b/>
                      <w:bCs/>
                      <w:sz w:val="24"/>
                      <w:szCs w:val="24"/>
                    </w:rPr>
                  </w:pPr>
                  <w:r>
                    <w:rPr>
                      <w:rFonts w:hint="eastAsia" w:ascii="仿宋" w:hAnsi="仿宋" w:eastAsia="仿宋" w:cs="宋体"/>
                      <w:b/>
                      <w:bCs/>
                      <w:sz w:val="24"/>
                      <w:szCs w:val="24"/>
                    </w:rPr>
                    <w:t>工作单元名称</w:t>
                  </w:r>
                </w:p>
              </w:tc>
              <w:tc>
                <w:tcPr>
                  <w:tcW w:w="4441" w:type="dxa"/>
                  <w:shd w:val="clear" w:color="000000" w:fill="FFFFFF"/>
                  <w:vAlign w:val="center"/>
                </w:tcPr>
                <w:p>
                  <w:pPr>
                    <w:jc w:val="center"/>
                    <w:rPr>
                      <w:rFonts w:ascii="仿宋" w:hAnsi="仿宋" w:eastAsia="仿宋" w:cs="宋体"/>
                      <w:b/>
                      <w:bCs/>
                      <w:sz w:val="24"/>
                      <w:szCs w:val="24"/>
                    </w:rPr>
                  </w:pPr>
                  <w:r>
                    <w:rPr>
                      <w:rFonts w:hint="eastAsia" w:ascii="仿宋" w:hAnsi="仿宋" w:eastAsia="仿宋" w:cs="宋体"/>
                      <w:b/>
                      <w:bCs/>
                      <w:sz w:val="24"/>
                      <w:szCs w:val="24"/>
                    </w:rPr>
                    <w:t>工作单元描述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Align w:val="center"/>
                </w:tcPr>
                <w:p>
                  <w:pPr>
                    <w:jc w:val="center"/>
                    <w:rPr>
                      <w:rFonts w:ascii="仿宋" w:hAnsi="仿宋" w:eastAsia="仿宋" w:cs="宋体"/>
                      <w:sz w:val="24"/>
                      <w:szCs w:val="24"/>
                    </w:rPr>
                  </w:pPr>
                  <w:r>
                    <w:rPr>
                      <w:rFonts w:ascii="仿宋" w:hAnsi="仿宋" w:eastAsia="仿宋" w:cs="宋体"/>
                      <w:sz w:val="24"/>
                      <w:szCs w:val="24"/>
                    </w:rPr>
                    <w:t>1</w:t>
                  </w:r>
                </w:p>
              </w:tc>
              <w:tc>
                <w:tcPr>
                  <w:tcW w:w="1953" w:type="dxa"/>
                  <w:vAlign w:val="center"/>
                </w:tcPr>
                <w:p>
                  <w:pPr>
                    <w:jc w:val="center"/>
                    <w:rPr>
                      <w:rFonts w:ascii="仿宋" w:hAnsi="仿宋" w:eastAsia="仿宋" w:cs="宋体"/>
                      <w:sz w:val="24"/>
                      <w:szCs w:val="24"/>
                    </w:rPr>
                  </w:pPr>
                  <w:r>
                    <w:rPr>
                      <w:rFonts w:hint="eastAsia" w:ascii="仿宋" w:hAnsi="仿宋" w:eastAsia="仿宋" w:cs="Arial"/>
                      <w:snapToGrid w:val="0"/>
                      <w:sz w:val="24"/>
                      <w:szCs w:val="24"/>
                      <w:lang w:eastAsia="zh-TW"/>
                    </w:rPr>
                    <w:t>物理位置的选择</w:t>
                  </w:r>
                </w:p>
              </w:tc>
              <w:tc>
                <w:tcPr>
                  <w:tcW w:w="4441" w:type="dxa"/>
                  <w:vAlign w:val="center"/>
                </w:tcPr>
                <w:p>
                  <w:pP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检查机房，测评机房物理场所在位置上是否具有防震、防风和防雨等多方面的安全防范能力。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Align w:val="center"/>
                </w:tcPr>
                <w:p>
                  <w:pPr>
                    <w:jc w:val="center"/>
                    <w:rPr>
                      <w:rFonts w:ascii="仿宋" w:hAnsi="仿宋" w:eastAsia="仿宋" w:cs="宋体"/>
                      <w:sz w:val="24"/>
                      <w:szCs w:val="24"/>
                    </w:rPr>
                  </w:pPr>
                  <w:r>
                    <w:rPr>
                      <w:rFonts w:ascii="仿宋" w:hAnsi="仿宋" w:eastAsia="仿宋" w:cs="宋体"/>
                      <w:sz w:val="24"/>
                      <w:szCs w:val="24"/>
                    </w:rPr>
                    <w:t>2</w:t>
                  </w:r>
                </w:p>
              </w:tc>
              <w:tc>
                <w:tcPr>
                  <w:tcW w:w="1953" w:type="dxa"/>
                  <w:vAlign w:val="center"/>
                </w:tcPr>
                <w:p>
                  <w:pPr>
                    <w:jc w:val="center"/>
                    <w:rPr>
                      <w:rFonts w:ascii="仿宋" w:hAnsi="仿宋" w:eastAsia="仿宋" w:cs="宋体"/>
                      <w:sz w:val="24"/>
                      <w:szCs w:val="24"/>
                    </w:rPr>
                  </w:pPr>
                  <w:r>
                    <w:rPr>
                      <w:rFonts w:hint="eastAsia" w:ascii="仿宋" w:hAnsi="仿宋" w:eastAsia="仿宋" w:cs="Arial"/>
                      <w:snapToGrid w:val="0"/>
                      <w:sz w:val="24"/>
                      <w:szCs w:val="24"/>
                      <w:lang w:eastAsia="zh-TW"/>
                    </w:rPr>
                    <w:t>物理访问控制</w:t>
                  </w:r>
                </w:p>
              </w:tc>
              <w:tc>
                <w:tcPr>
                  <w:tcW w:w="4441" w:type="dxa"/>
                  <w:vAlign w:val="center"/>
                </w:tcPr>
                <w:p>
                  <w:pP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检查机房出入口等过程，测评信息系统在物理访问控制方面的安全防范能力。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Align w:val="center"/>
                </w:tcPr>
                <w:p>
                  <w:pPr>
                    <w:jc w:val="center"/>
                    <w:rPr>
                      <w:rFonts w:ascii="仿宋" w:hAnsi="仿宋" w:eastAsia="仿宋" w:cs="宋体"/>
                      <w:sz w:val="24"/>
                      <w:szCs w:val="24"/>
                    </w:rPr>
                  </w:pPr>
                  <w:r>
                    <w:rPr>
                      <w:rFonts w:ascii="仿宋" w:hAnsi="仿宋" w:eastAsia="仿宋" w:cs="宋体"/>
                      <w:sz w:val="24"/>
                      <w:szCs w:val="24"/>
                    </w:rPr>
                    <w:t>3</w:t>
                  </w:r>
                </w:p>
              </w:tc>
              <w:tc>
                <w:tcPr>
                  <w:tcW w:w="1953" w:type="dxa"/>
                  <w:vAlign w:val="center"/>
                </w:tcPr>
                <w:p>
                  <w:pPr>
                    <w:jc w:val="center"/>
                    <w:rPr>
                      <w:rFonts w:ascii="仿宋" w:hAnsi="仿宋" w:eastAsia="仿宋" w:cs="宋体"/>
                      <w:sz w:val="24"/>
                      <w:szCs w:val="24"/>
                    </w:rPr>
                  </w:pPr>
                  <w:r>
                    <w:rPr>
                      <w:rFonts w:hint="eastAsia" w:ascii="仿宋" w:hAnsi="仿宋" w:eastAsia="仿宋" w:cs="Arial"/>
                      <w:snapToGrid w:val="0"/>
                      <w:sz w:val="24"/>
                      <w:szCs w:val="24"/>
                      <w:lang w:eastAsia="zh-TW"/>
                    </w:rPr>
                    <w:t>防盗窃和防破坏</w:t>
                  </w:r>
                </w:p>
              </w:tc>
              <w:tc>
                <w:tcPr>
                  <w:tcW w:w="4441" w:type="dxa"/>
                  <w:vAlign w:val="center"/>
                </w:tcPr>
                <w:p>
                  <w:pP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检查机房内的主要设备、介质和防盗报警设施等过程，测评信息系统是否采取必要的措施预防设备、介质等丢失和被破坏。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Align w:val="center"/>
                </w:tcPr>
                <w:p>
                  <w:pPr>
                    <w:jc w:val="center"/>
                    <w:rPr>
                      <w:rFonts w:ascii="仿宋" w:hAnsi="仿宋" w:eastAsia="仿宋" w:cs="宋体"/>
                      <w:sz w:val="24"/>
                      <w:szCs w:val="24"/>
                    </w:rPr>
                  </w:pPr>
                  <w:r>
                    <w:rPr>
                      <w:rFonts w:ascii="仿宋" w:hAnsi="仿宋" w:eastAsia="仿宋" w:cs="宋体"/>
                      <w:sz w:val="24"/>
                      <w:szCs w:val="24"/>
                    </w:rPr>
                    <w:t>4</w:t>
                  </w:r>
                </w:p>
              </w:tc>
              <w:tc>
                <w:tcPr>
                  <w:tcW w:w="1953" w:type="dxa"/>
                  <w:vAlign w:val="center"/>
                </w:tcPr>
                <w:p>
                  <w:pPr>
                    <w:jc w:val="center"/>
                    <w:rPr>
                      <w:rFonts w:ascii="仿宋" w:hAnsi="仿宋" w:eastAsia="仿宋" w:cs="宋体"/>
                      <w:sz w:val="24"/>
                      <w:szCs w:val="24"/>
                    </w:rPr>
                  </w:pPr>
                  <w:r>
                    <w:rPr>
                      <w:rFonts w:hint="eastAsia" w:ascii="仿宋" w:hAnsi="仿宋" w:eastAsia="仿宋" w:cs="Arial"/>
                      <w:snapToGrid w:val="0"/>
                      <w:sz w:val="24"/>
                      <w:szCs w:val="24"/>
                      <w:lang w:eastAsia="zh-TW"/>
                    </w:rPr>
                    <w:t>防雷击</w:t>
                  </w:r>
                </w:p>
              </w:tc>
              <w:tc>
                <w:tcPr>
                  <w:tcW w:w="4441" w:type="dxa"/>
                  <w:vAlign w:val="center"/>
                </w:tcPr>
                <w:p>
                  <w:pP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检查机房设计</w:t>
                  </w:r>
                  <w:r>
                    <w:rPr>
                      <w:rFonts w:ascii="仿宋" w:hAnsi="仿宋" w:eastAsia="仿宋" w:cs="Arial"/>
                      <w:snapToGrid w:val="0"/>
                      <w:sz w:val="24"/>
                      <w:szCs w:val="24"/>
                      <w:lang w:eastAsia="zh-TW"/>
                    </w:rPr>
                    <w:t>/</w:t>
                  </w:r>
                  <w:r>
                    <w:rPr>
                      <w:rFonts w:hint="eastAsia" w:ascii="仿宋" w:hAnsi="仿宋" w:eastAsia="仿宋" w:cs="Arial"/>
                      <w:snapToGrid w:val="0"/>
                      <w:sz w:val="24"/>
                      <w:szCs w:val="24"/>
                      <w:lang w:eastAsia="zh-TW"/>
                    </w:rPr>
                    <w:t>验收文档，测评信息系统是否采取相应的措施预防雷击。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Align w:val="center"/>
                </w:tcPr>
                <w:p>
                  <w:pPr>
                    <w:jc w:val="center"/>
                    <w:rPr>
                      <w:rFonts w:ascii="仿宋" w:hAnsi="仿宋" w:eastAsia="仿宋" w:cs="宋体"/>
                      <w:sz w:val="24"/>
                      <w:szCs w:val="24"/>
                    </w:rPr>
                  </w:pPr>
                  <w:r>
                    <w:rPr>
                      <w:rFonts w:ascii="仿宋" w:hAnsi="仿宋" w:eastAsia="仿宋" w:cs="宋体"/>
                      <w:sz w:val="24"/>
                      <w:szCs w:val="24"/>
                    </w:rPr>
                    <w:t>5</w:t>
                  </w:r>
                </w:p>
              </w:tc>
              <w:tc>
                <w:tcPr>
                  <w:tcW w:w="1953" w:type="dxa"/>
                  <w:vAlign w:val="center"/>
                </w:tcPr>
                <w:p>
                  <w:pPr>
                    <w:jc w:val="center"/>
                    <w:rPr>
                      <w:rFonts w:ascii="仿宋" w:hAnsi="仿宋" w:eastAsia="仿宋" w:cs="宋体"/>
                      <w:sz w:val="24"/>
                      <w:szCs w:val="24"/>
                    </w:rPr>
                  </w:pPr>
                  <w:r>
                    <w:rPr>
                      <w:rFonts w:hint="eastAsia" w:ascii="仿宋" w:hAnsi="仿宋" w:eastAsia="仿宋" w:cs="Arial"/>
                      <w:snapToGrid w:val="0"/>
                      <w:sz w:val="24"/>
                      <w:szCs w:val="24"/>
                      <w:lang w:eastAsia="zh-TW"/>
                    </w:rPr>
                    <w:t>防火</w:t>
                  </w:r>
                </w:p>
              </w:tc>
              <w:tc>
                <w:tcPr>
                  <w:tcW w:w="4441" w:type="dxa"/>
                  <w:vAlign w:val="center"/>
                </w:tcPr>
                <w:p>
                  <w:pP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检查机房防火方面的安全管理制度，检查机房防火设备等过程，测评信息系统是否采取必要的措施防止火灾的发生。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Align w:val="center"/>
                </w:tcPr>
                <w:p>
                  <w:pPr>
                    <w:jc w:val="center"/>
                    <w:rPr>
                      <w:rFonts w:ascii="仿宋" w:hAnsi="仿宋" w:eastAsia="仿宋" w:cs="宋体"/>
                      <w:sz w:val="24"/>
                      <w:szCs w:val="24"/>
                    </w:rPr>
                  </w:pPr>
                  <w:r>
                    <w:rPr>
                      <w:rFonts w:ascii="仿宋" w:hAnsi="仿宋" w:eastAsia="仿宋" w:cs="宋体"/>
                      <w:sz w:val="24"/>
                      <w:szCs w:val="24"/>
                    </w:rPr>
                    <w:t>6</w:t>
                  </w:r>
                </w:p>
              </w:tc>
              <w:tc>
                <w:tcPr>
                  <w:tcW w:w="1953" w:type="dxa"/>
                  <w:vAlign w:val="center"/>
                </w:tcPr>
                <w:p>
                  <w:pPr>
                    <w:jc w:val="center"/>
                    <w:rPr>
                      <w:rFonts w:ascii="仿宋" w:hAnsi="仿宋" w:eastAsia="仿宋" w:cs="宋体"/>
                      <w:sz w:val="24"/>
                      <w:szCs w:val="24"/>
                    </w:rPr>
                  </w:pPr>
                  <w:r>
                    <w:rPr>
                      <w:rFonts w:hint="eastAsia" w:ascii="仿宋" w:hAnsi="仿宋" w:eastAsia="仿宋" w:cs="Arial"/>
                      <w:snapToGrid w:val="0"/>
                      <w:sz w:val="24"/>
                      <w:szCs w:val="24"/>
                      <w:lang w:eastAsia="zh-TW"/>
                    </w:rPr>
                    <w:t>防水和防潮</w:t>
                  </w:r>
                </w:p>
              </w:tc>
              <w:tc>
                <w:tcPr>
                  <w:tcW w:w="4441" w:type="dxa"/>
                  <w:vAlign w:val="center"/>
                </w:tcPr>
                <w:p>
                  <w:pP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检查机房及其除潮设备等过程，测评信息系统是否采取必要措施来防止水灾和机房潮湿。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Align w:val="center"/>
                </w:tcPr>
                <w:p>
                  <w:pPr>
                    <w:jc w:val="center"/>
                    <w:rPr>
                      <w:rFonts w:ascii="仿宋" w:hAnsi="仿宋" w:eastAsia="仿宋" w:cs="宋体"/>
                      <w:sz w:val="24"/>
                      <w:szCs w:val="24"/>
                    </w:rPr>
                  </w:pPr>
                  <w:r>
                    <w:rPr>
                      <w:rFonts w:ascii="仿宋" w:hAnsi="仿宋" w:eastAsia="仿宋" w:cs="宋体"/>
                      <w:sz w:val="24"/>
                      <w:szCs w:val="24"/>
                    </w:rPr>
                    <w:t>7</w:t>
                  </w:r>
                </w:p>
              </w:tc>
              <w:tc>
                <w:tcPr>
                  <w:tcW w:w="1953" w:type="dxa"/>
                  <w:vAlign w:val="center"/>
                </w:tcPr>
                <w:p>
                  <w:pPr>
                    <w:jc w:val="center"/>
                    <w:rPr>
                      <w:rFonts w:ascii="仿宋" w:hAnsi="仿宋" w:eastAsia="仿宋" w:cs="宋体"/>
                      <w:sz w:val="24"/>
                      <w:szCs w:val="24"/>
                    </w:rPr>
                  </w:pPr>
                  <w:r>
                    <w:rPr>
                      <w:rFonts w:hint="eastAsia" w:ascii="仿宋" w:hAnsi="仿宋" w:eastAsia="仿宋" w:cs="Arial"/>
                      <w:snapToGrid w:val="0"/>
                      <w:sz w:val="24"/>
                      <w:szCs w:val="24"/>
                      <w:lang w:eastAsia="zh-TW"/>
                    </w:rPr>
                    <w:t>防静电</w:t>
                  </w:r>
                </w:p>
              </w:tc>
              <w:tc>
                <w:tcPr>
                  <w:tcW w:w="4441" w:type="dxa"/>
                  <w:vAlign w:val="center"/>
                </w:tcPr>
                <w:p>
                  <w:pP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检查机房等过程，测评信息系统是否采取必要措施防止静电的产生。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Align w:val="center"/>
                </w:tcPr>
                <w:p>
                  <w:pPr>
                    <w:jc w:val="center"/>
                    <w:rPr>
                      <w:rFonts w:ascii="仿宋" w:hAnsi="仿宋" w:eastAsia="仿宋" w:cs="宋体"/>
                      <w:sz w:val="24"/>
                      <w:szCs w:val="24"/>
                    </w:rPr>
                  </w:pPr>
                  <w:r>
                    <w:rPr>
                      <w:rFonts w:ascii="仿宋" w:hAnsi="仿宋" w:eastAsia="仿宋" w:cs="宋体"/>
                      <w:sz w:val="24"/>
                      <w:szCs w:val="24"/>
                    </w:rPr>
                    <w:t>8</w:t>
                  </w:r>
                </w:p>
              </w:tc>
              <w:tc>
                <w:tcPr>
                  <w:tcW w:w="1953" w:type="dxa"/>
                  <w:vAlign w:val="center"/>
                </w:tcPr>
                <w:p>
                  <w:pPr>
                    <w:jc w:val="center"/>
                    <w:rPr>
                      <w:rFonts w:ascii="仿宋" w:hAnsi="仿宋" w:eastAsia="仿宋" w:cs="宋体"/>
                      <w:sz w:val="24"/>
                      <w:szCs w:val="24"/>
                    </w:rPr>
                  </w:pPr>
                  <w:r>
                    <w:rPr>
                      <w:rFonts w:hint="eastAsia" w:ascii="仿宋" w:hAnsi="仿宋" w:eastAsia="仿宋" w:cs="Arial"/>
                      <w:snapToGrid w:val="0"/>
                      <w:sz w:val="24"/>
                      <w:szCs w:val="24"/>
                      <w:lang w:eastAsia="zh-TW"/>
                    </w:rPr>
                    <w:t>温湿度控制</w:t>
                  </w:r>
                </w:p>
              </w:tc>
              <w:tc>
                <w:tcPr>
                  <w:tcW w:w="4441" w:type="dxa"/>
                  <w:vAlign w:val="center"/>
                </w:tcPr>
                <w:p>
                  <w:pP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检查机房的温湿度自动调节系统，测评信息系统是否采取必要措施对机房内的温湿度进行控制。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Align w:val="center"/>
                </w:tcPr>
                <w:p>
                  <w:pPr>
                    <w:jc w:val="center"/>
                    <w:rPr>
                      <w:rFonts w:ascii="仿宋" w:hAnsi="仿宋" w:eastAsia="仿宋" w:cs="宋体"/>
                      <w:sz w:val="24"/>
                      <w:szCs w:val="24"/>
                    </w:rPr>
                  </w:pPr>
                  <w:r>
                    <w:rPr>
                      <w:rFonts w:ascii="仿宋" w:hAnsi="仿宋" w:eastAsia="仿宋" w:cs="宋体"/>
                      <w:sz w:val="24"/>
                      <w:szCs w:val="24"/>
                    </w:rPr>
                    <w:t>9</w:t>
                  </w:r>
                </w:p>
              </w:tc>
              <w:tc>
                <w:tcPr>
                  <w:tcW w:w="1953" w:type="dxa"/>
                  <w:vAlign w:val="center"/>
                </w:tcPr>
                <w:p>
                  <w:pPr>
                    <w:jc w:val="center"/>
                    <w:rPr>
                      <w:rFonts w:ascii="仿宋" w:hAnsi="仿宋" w:eastAsia="仿宋" w:cs="宋体"/>
                      <w:sz w:val="24"/>
                      <w:szCs w:val="24"/>
                    </w:rPr>
                  </w:pPr>
                  <w:r>
                    <w:rPr>
                      <w:rFonts w:hint="eastAsia" w:ascii="仿宋" w:hAnsi="仿宋" w:eastAsia="仿宋" w:cs="Arial"/>
                      <w:snapToGrid w:val="0"/>
                      <w:sz w:val="24"/>
                      <w:szCs w:val="24"/>
                      <w:lang w:eastAsia="zh-TW"/>
                    </w:rPr>
                    <w:t>电力供应</w:t>
                  </w:r>
                </w:p>
              </w:tc>
              <w:tc>
                <w:tcPr>
                  <w:tcW w:w="4441" w:type="dxa"/>
                  <w:vAlign w:val="center"/>
                </w:tcPr>
                <w:p>
                  <w:pP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检查机房供电线路、设备等过程，测评是否具备为信息系统提供一定电力供应的能力。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Align w:val="center"/>
                </w:tcPr>
                <w:p>
                  <w:pPr>
                    <w:jc w:val="center"/>
                    <w:rPr>
                      <w:rFonts w:ascii="仿宋" w:hAnsi="仿宋" w:eastAsia="仿宋" w:cs="宋体"/>
                      <w:sz w:val="24"/>
                      <w:szCs w:val="24"/>
                    </w:rPr>
                  </w:pPr>
                  <w:r>
                    <w:rPr>
                      <w:rFonts w:ascii="仿宋" w:hAnsi="仿宋" w:eastAsia="仿宋" w:cs="宋体"/>
                      <w:sz w:val="24"/>
                      <w:szCs w:val="24"/>
                    </w:rPr>
                    <w:t>10</w:t>
                  </w:r>
                </w:p>
              </w:tc>
              <w:tc>
                <w:tcPr>
                  <w:tcW w:w="1953" w:type="dxa"/>
                  <w:vAlign w:val="center"/>
                </w:tcPr>
                <w:p>
                  <w:pPr>
                    <w:jc w:val="center"/>
                    <w:rPr>
                      <w:rFonts w:ascii="仿宋" w:hAnsi="仿宋" w:eastAsia="仿宋" w:cs="宋体"/>
                      <w:sz w:val="24"/>
                      <w:szCs w:val="24"/>
                    </w:rPr>
                  </w:pPr>
                  <w:r>
                    <w:rPr>
                      <w:rFonts w:hint="eastAsia" w:ascii="仿宋" w:hAnsi="仿宋" w:eastAsia="仿宋" w:cs="Arial"/>
                      <w:snapToGrid w:val="0"/>
                      <w:sz w:val="24"/>
                      <w:szCs w:val="24"/>
                      <w:lang w:eastAsia="zh-TW"/>
                    </w:rPr>
                    <w:t>电磁防护</w:t>
                  </w:r>
                </w:p>
              </w:tc>
              <w:tc>
                <w:tcPr>
                  <w:tcW w:w="4441" w:type="dxa"/>
                  <w:vAlign w:val="center"/>
                </w:tcPr>
                <w:p>
                  <w:pP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检查主要设备等过程，测评信息系统是否具备一定的电磁防护能力。</w:t>
                  </w:r>
                </w:p>
              </w:tc>
            </w:tr>
          </w:tbl>
          <w:p>
            <w:pPr>
              <w:rPr>
                <w:rFonts w:ascii="仿宋" w:hAnsi="仿宋" w:eastAsia="仿宋" w:cs="宋体"/>
                <w:sz w:val="24"/>
                <w:szCs w:val="24"/>
              </w:rPr>
            </w:pPr>
          </w:p>
          <w:p>
            <w:pPr>
              <w:spacing w:line="276" w:lineRule="auto"/>
              <w:ind w:firstLine="480" w:firstLineChars="200"/>
              <w:rPr>
                <w:rFonts w:ascii="仿宋" w:hAnsi="仿宋" w:eastAsia="仿宋" w:cs="宋体"/>
                <w:sz w:val="24"/>
                <w:szCs w:val="24"/>
              </w:rPr>
            </w:pPr>
            <w:r>
              <w:rPr>
                <w:rFonts w:hint="eastAsia" w:ascii="仿宋" w:hAnsi="仿宋" w:eastAsia="仿宋" w:cs="宋体"/>
                <w:sz w:val="24"/>
                <w:szCs w:val="24"/>
              </w:rPr>
              <w:t>（2）安全通信网络</w:t>
            </w:r>
          </w:p>
          <w:p>
            <w:pPr>
              <w:pStyle w:val="75"/>
              <w:ind w:firstLine="480"/>
              <w:rPr>
                <w:rFonts w:ascii="仿宋" w:hAnsi="仿宋" w:eastAsia="仿宋"/>
                <w:szCs w:val="24"/>
                <w:lang w:val="zh-CN"/>
              </w:rPr>
            </w:pPr>
            <w:r>
              <w:rPr>
                <w:rFonts w:hint="eastAsia" w:ascii="仿宋" w:hAnsi="仿宋" w:eastAsia="仿宋"/>
                <w:szCs w:val="24"/>
                <w:lang w:val="zh-CN"/>
              </w:rPr>
              <w:t>安全通信网络检查主要是了解系统的网络架构和通信传输等，涉及对象为</w:t>
            </w:r>
            <w:r>
              <w:rPr>
                <w:rFonts w:hint="eastAsia" w:ascii="仿宋" w:hAnsi="仿宋" w:eastAsia="仿宋" w:cs="Arial"/>
                <w:snapToGrid w:val="0"/>
                <w:szCs w:val="24"/>
                <w:lang w:eastAsia="zh-TW"/>
              </w:rPr>
              <w:t>防火墙、核心路由器、核心交换机等设备和网络架构</w:t>
            </w:r>
            <w:r>
              <w:rPr>
                <w:rFonts w:hint="eastAsia" w:ascii="仿宋" w:hAnsi="仿宋" w:eastAsia="仿宋"/>
                <w:szCs w:val="24"/>
                <w:lang w:val="zh-CN"/>
              </w:rPr>
              <w:t>。在内容上，安全通信网络层面测评过程涉及的工作单元，具体如下表：</w:t>
            </w:r>
          </w:p>
          <w:p>
            <w:pPr>
              <w:spacing w:before="236" w:beforeLines="50" w:after="236" w:afterLines="50" w:line="276" w:lineRule="auto"/>
              <w:ind w:firstLine="360" w:firstLineChars="150"/>
              <w:jc w:val="center"/>
              <w:rPr>
                <w:rFonts w:ascii="仿宋" w:hAnsi="仿宋" w:eastAsia="仿宋" w:cs="宋体"/>
                <w:sz w:val="24"/>
                <w:szCs w:val="24"/>
              </w:rPr>
            </w:pPr>
            <w:r>
              <w:rPr>
                <w:rFonts w:hint="eastAsia" w:ascii="仿宋" w:hAnsi="仿宋" w:eastAsia="仿宋" w:cs="宋体"/>
                <w:sz w:val="24"/>
                <w:szCs w:val="24"/>
              </w:rPr>
              <w:t>表</w:t>
            </w:r>
            <w:r>
              <w:rPr>
                <w:rFonts w:ascii="仿宋" w:hAnsi="仿宋" w:eastAsia="仿宋" w:cs="宋体"/>
                <w:sz w:val="24"/>
                <w:szCs w:val="24"/>
              </w:rPr>
              <w:t xml:space="preserve">2 </w:t>
            </w:r>
            <w:r>
              <w:rPr>
                <w:rFonts w:hint="eastAsia" w:ascii="仿宋" w:hAnsi="仿宋" w:eastAsia="仿宋" w:cs="宋体"/>
                <w:sz w:val="24"/>
                <w:szCs w:val="24"/>
              </w:rPr>
              <w:t>安全通信网络测评内容</w:t>
            </w:r>
          </w:p>
          <w:tbl>
            <w:tblPr>
              <w:tblStyle w:val="20"/>
              <w:tblW w:w="7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843"/>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20" w:type="dxa"/>
                  <w:shd w:val="clear" w:color="000000" w:fill="FFFFFF"/>
                  <w:vAlign w:val="center"/>
                </w:tcPr>
                <w:p>
                  <w:pPr>
                    <w:rPr>
                      <w:rFonts w:ascii="仿宋" w:hAnsi="仿宋" w:eastAsia="仿宋" w:cs="宋体"/>
                      <w:b/>
                      <w:bCs/>
                      <w:sz w:val="24"/>
                      <w:szCs w:val="24"/>
                    </w:rPr>
                  </w:pPr>
                  <w:r>
                    <w:rPr>
                      <w:rFonts w:hint="eastAsia" w:ascii="仿宋" w:hAnsi="仿宋" w:eastAsia="仿宋" w:cs="宋体"/>
                      <w:b/>
                      <w:bCs/>
                      <w:sz w:val="24"/>
                      <w:szCs w:val="24"/>
                    </w:rPr>
                    <w:t>序号</w:t>
                  </w:r>
                </w:p>
              </w:tc>
              <w:tc>
                <w:tcPr>
                  <w:tcW w:w="1843" w:type="dxa"/>
                  <w:shd w:val="clear" w:color="000000" w:fill="FFFFFF"/>
                  <w:vAlign w:val="center"/>
                </w:tcPr>
                <w:p>
                  <w:pPr>
                    <w:jc w:val="center"/>
                    <w:rPr>
                      <w:rFonts w:ascii="仿宋" w:hAnsi="仿宋" w:eastAsia="仿宋" w:cs="宋体"/>
                      <w:b/>
                      <w:bCs/>
                      <w:sz w:val="24"/>
                      <w:szCs w:val="24"/>
                    </w:rPr>
                  </w:pPr>
                  <w:r>
                    <w:rPr>
                      <w:rFonts w:hint="eastAsia" w:ascii="仿宋" w:hAnsi="仿宋" w:eastAsia="仿宋" w:cs="宋体"/>
                      <w:b/>
                      <w:bCs/>
                      <w:sz w:val="24"/>
                      <w:szCs w:val="24"/>
                    </w:rPr>
                    <w:t>工作单元名称</w:t>
                  </w:r>
                </w:p>
              </w:tc>
              <w:tc>
                <w:tcPr>
                  <w:tcW w:w="4515" w:type="dxa"/>
                  <w:shd w:val="clear" w:color="000000" w:fill="FFFFFF"/>
                  <w:vAlign w:val="center"/>
                </w:tcPr>
                <w:p>
                  <w:pPr>
                    <w:jc w:val="center"/>
                    <w:rPr>
                      <w:rFonts w:ascii="仿宋" w:hAnsi="仿宋" w:eastAsia="仿宋" w:cs="宋体"/>
                      <w:b/>
                      <w:bCs/>
                      <w:sz w:val="24"/>
                      <w:szCs w:val="24"/>
                    </w:rPr>
                  </w:pPr>
                  <w:r>
                    <w:rPr>
                      <w:rFonts w:hint="eastAsia" w:ascii="仿宋" w:hAnsi="仿宋" w:eastAsia="仿宋" w:cs="宋体"/>
                      <w:b/>
                      <w:bCs/>
                      <w:sz w:val="24"/>
                      <w:szCs w:val="24"/>
                    </w:rPr>
                    <w:t>工作单元描述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20" w:type="dxa"/>
                  <w:vAlign w:val="center"/>
                </w:tcPr>
                <w:p>
                  <w:pPr>
                    <w:jc w:val="center"/>
                    <w:rPr>
                      <w:rFonts w:ascii="仿宋" w:hAnsi="仿宋" w:eastAsia="仿宋" w:cs="宋体"/>
                      <w:sz w:val="24"/>
                      <w:szCs w:val="24"/>
                    </w:rPr>
                  </w:pPr>
                  <w:r>
                    <w:rPr>
                      <w:rFonts w:ascii="仿宋" w:hAnsi="仿宋" w:eastAsia="仿宋" w:cs="宋体"/>
                      <w:sz w:val="24"/>
                      <w:szCs w:val="24"/>
                    </w:rPr>
                    <w:t>1</w:t>
                  </w:r>
                </w:p>
              </w:tc>
              <w:tc>
                <w:tcPr>
                  <w:tcW w:w="1843" w:type="dxa"/>
                  <w:vAlign w:val="center"/>
                </w:tcPr>
                <w:p>
                  <w:pPr>
                    <w:jc w:val="center"/>
                    <w:rPr>
                      <w:rFonts w:ascii="仿宋" w:hAnsi="仿宋" w:eastAsia="仿宋" w:cs="宋体"/>
                      <w:sz w:val="24"/>
                      <w:szCs w:val="24"/>
                    </w:rPr>
                  </w:pPr>
                  <w:r>
                    <w:rPr>
                      <w:rFonts w:hint="eastAsia" w:ascii="仿宋" w:hAnsi="仿宋" w:eastAsia="仿宋" w:cs="宋体"/>
                      <w:sz w:val="24"/>
                      <w:szCs w:val="24"/>
                    </w:rPr>
                    <w:t>网络架构</w:t>
                  </w:r>
                </w:p>
              </w:tc>
              <w:tc>
                <w:tcPr>
                  <w:tcW w:w="4515" w:type="dxa"/>
                  <w:vAlign w:val="center"/>
                </w:tcPr>
                <w:p>
                  <w:pPr>
                    <w:rPr>
                      <w:rFonts w:ascii="仿宋" w:hAnsi="仿宋" w:eastAsia="仿宋" w:cs="Arial"/>
                      <w:snapToGrid w:val="0"/>
                      <w:sz w:val="24"/>
                      <w:szCs w:val="24"/>
                    </w:rPr>
                  </w:pPr>
                  <w:r>
                    <w:rPr>
                      <w:rFonts w:hint="eastAsia" w:ascii="仿宋" w:hAnsi="仿宋" w:eastAsia="仿宋" w:cs="Arial"/>
                      <w:snapToGrid w:val="0"/>
                      <w:sz w:val="24"/>
                      <w:szCs w:val="24"/>
                      <w:lang w:eastAsia="zh-TW"/>
                    </w:rPr>
                    <w:t>检查核心设备的</w:t>
                  </w:r>
                  <w:r>
                    <w:rPr>
                      <w:rFonts w:hint="eastAsia" w:ascii="仿宋" w:hAnsi="仿宋" w:eastAsia="仿宋" w:cs="Arial"/>
                      <w:snapToGrid w:val="0"/>
                      <w:sz w:val="24"/>
                      <w:szCs w:val="24"/>
                    </w:rPr>
                    <w:t>C</w:t>
                  </w:r>
                  <w:r>
                    <w:rPr>
                      <w:rFonts w:ascii="仿宋" w:hAnsi="仿宋" w:eastAsia="仿宋" w:cs="Arial"/>
                      <w:snapToGrid w:val="0"/>
                      <w:sz w:val="24"/>
                      <w:szCs w:val="24"/>
                    </w:rPr>
                    <w:t>PU</w:t>
                  </w:r>
                  <w:r>
                    <w:rPr>
                      <w:rFonts w:hint="eastAsia" w:ascii="仿宋" w:hAnsi="仿宋" w:eastAsia="仿宋" w:cs="Arial"/>
                      <w:snapToGrid w:val="0"/>
                      <w:sz w:val="24"/>
                      <w:szCs w:val="24"/>
                    </w:rPr>
                    <w:t>和内存使用率，整个网络带宽是否满足现状，V</w:t>
                  </w:r>
                  <w:r>
                    <w:rPr>
                      <w:rFonts w:ascii="仿宋" w:hAnsi="仿宋" w:eastAsia="仿宋" w:cs="Arial"/>
                      <w:snapToGrid w:val="0"/>
                      <w:sz w:val="24"/>
                      <w:szCs w:val="24"/>
                    </w:rPr>
                    <w:t>LAN</w:t>
                  </w:r>
                  <w:r>
                    <w:rPr>
                      <w:rFonts w:hint="eastAsia" w:ascii="仿宋" w:hAnsi="仿宋" w:eastAsia="仿宋" w:cs="Arial"/>
                      <w:snapToGrid w:val="0"/>
                      <w:sz w:val="24"/>
                      <w:szCs w:val="24"/>
                    </w:rPr>
                    <w:t>划分是否合理，网络架构是否做到设备冗余、链路。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20" w:type="dxa"/>
                  <w:vAlign w:val="center"/>
                </w:tcPr>
                <w:p>
                  <w:pPr>
                    <w:jc w:val="center"/>
                    <w:rPr>
                      <w:rFonts w:ascii="仿宋" w:hAnsi="仿宋" w:eastAsia="仿宋" w:cs="宋体"/>
                      <w:sz w:val="24"/>
                      <w:szCs w:val="24"/>
                    </w:rPr>
                  </w:pPr>
                  <w:r>
                    <w:rPr>
                      <w:rFonts w:ascii="仿宋" w:hAnsi="仿宋" w:eastAsia="仿宋" w:cs="宋体"/>
                      <w:sz w:val="24"/>
                      <w:szCs w:val="24"/>
                    </w:rPr>
                    <w:t>2</w:t>
                  </w:r>
                </w:p>
              </w:tc>
              <w:tc>
                <w:tcPr>
                  <w:tcW w:w="1843" w:type="dxa"/>
                  <w:vAlign w:val="center"/>
                </w:tcPr>
                <w:p>
                  <w:pPr>
                    <w:jc w:val="center"/>
                    <w:rPr>
                      <w:rFonts w:ascii="仿宋" w:hAnsi="仿宋" w:eastAsia="仿宋" w:cs="宋体"/>
                      <w:sz w:val="24"/>
                      <w:szCs w:val="24"/>
                    </w:rPr>
                  </w:pPr>
                  <w:r>
                    <w:rPr>
                      <w:rFonts w:hint="eastAsia" w:ascii="仿宋" w:hAnsi="仿宋" w:eastAsia="仿宋" w:cs="Arial"/>
                      <w:snapToGrid w:val="0"/>
                      <w:sz w:val="24"/>
                      <w:szCs w:val="24"/>
                      <w:lang w:eastAsia="zh-TW"/>
                    </w:rPr>
                    <w:t>通信传输</w:t>
                  </w:r>
                </w:p>
              </w:tc>
              <w:tc>
                <w:tcPr>
                  <w:tcW w:w="4515" w:type="dxa"/>
                  <w:vAlign w:val="center"/>
                </w:tcPr>
                <w:p>
                  <w:pP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检查数据在传输过程中的的完整性和保密性措施。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20" w:type="dxa"/>
                  <w:vAlign w:val="center"/>
                </w:tcPr>
                <w:p>
                  <w:pPr>
                    <w:jc w:val="center"/>
                    <w:rPr>
                      <w:rFonts w:ascii="仿宋" w:hAnsi="仿宋" w:eastAsia="仿宋" w:cs="宋体"/>
                      <w:sz w:val="24"/>
                      <w:szCs w:val="24"/>
                    </w:rPr>
                  </w:pPr>
                  <w:r>
                    <w:rPr>
                      <w:rFonts w:ascii="仿宋" w:hAnsi="仿宋" w:eastAsia="仿宋" w:cs="宋体"/>
                      <w:sz w:val="24"/>
                      <w:szCs w:val="24"/>
                    </w:rPr>
                    <w:t>3</w:t>
                  </w:r>
                </w:p>
              </w:tc>
              <w:tc>
                <w:tcPr>
                  <w:tcW w:w="1843" w:type="dxa"/>
                  <w:vAlign w:val="center"/>
                </w:tcPr>
                <w:p>
                  <w:pPr>
                    <w:jc w:val="center"/>
                    <w:rPr>
                      <w:rFonts w:ascii="仿宋" w:hAnsi="仿宋" w:eastAsia="仿宋" w:cs="宋体"/>
                      <w:sz w:val="24"/>
                      <w:szCs w:val="24"/>
                    </w:rPr>
                  </w:pPr>
                  <w:r>
                    <w:rPr>
                      <w:rFonts w:hint="eastAsia" w:ascii="仿宋" w:hAnsi="仿宋" w:eastAsia="仿宋" w:cs="Arial"/>
                      <w:snapToGrid w:val="0"/>
                      <w:sz w:val="24"/>
                      <w:szCs w:val="24"/>
                      <w:lang w:eastAsia="zh-TW"/>
                    </w:rPr>
                    <w:t>可信计算</w:t>
                  </w:r>
                </w:p>
              </w:tc>
              <w:tc>
                <w:tcPr>
                  <w:tcW w:w="4515" w:type="dxa"/>
                  <w:vAlign w:val="center"/>
                </w:tcPr>
                <w:p>
                  <w:pP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检查设备是否进行可信验证。</w:t>
                  </w:r>
                </w:p>
              </w:tc>
            </w:tr>
          </w:tbl>
          <w:p>
            <w:pPr>
              <w:rPr>
                <w:rFonts w:ascii="仿宋" w:hAnsi="仿宋" w:eastAsia="仿宋" w:cs="宋体"/>
                <w:sz w:val="24"/>
                <w:szCs w:val="24"/>
              </w:rPr>
            </w:pP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（3）安全区域边界</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安全区域边界检查主要是了解系统在网络边界的防护措施，涉及对象为防火墙、入侵检测、安全审计等安全设备。在内容上，安全区域边界层面测评实施过程涉及的工作单元，具体如下表：</w:t>
            </w:r>
          </w:p>
          <w:p>
            <w:pPr>
              <w:spacing w:before="236" w:beforeLines="50" w:after="236" w:afterLines="50" w:line="276" w:lineRule="auto"/>
              <w:ind w:firstLine="360" w:firstLineChars="150"/>
              <w:jc w:val="center"/>
              <w:rPr>
                <w:rFonts w:ascii="仿宋" w:hAnsi="仿宋" w:eastAsia="仿宋" w:cs="宋体"/>
                <w:sz w:val="24"/>
                <w:szCs w:val="24"/>
              </w:rPr>
            </w:pPr>
            <w:r>
              <w:rPr>
                <w:rFonts w:hint="eastAsia" w:ascii="仿宋" w:hAnsi="仿宋" w:eastAsia="仿宋" w:cs="宋体"/>
                <w:sz w:val="24"/>
                <w:szCs w:val="24"/>
              </w:rPr>
              <w:t>表</w:t>
            </w:r>
            <w:r>
              <w:rPr>
                <w:rFonts w:ascii="仿宋" w:hAnsi="仿宋" w:eastAsia="仿宋" w:cs="宋体"/>
                <w:sz w:val="24"/>
                <w:szCs w:val="24"/>
              </w:rPr>
              <w:t xml:space="preserve">3 </w:t>
            </w:r>
            <w:r>
              <w:rPr>
                <w:rFonts w:hint="eastAsia" w:ascii="仿宋" w:hAnsi="仿宋" w:eastAsia="仿宋" w:cs="宋体"/>
                <w:sz w:val="24"/>
                <w:szCs w:val="24"/>
              </w:rPr>
              <w:t>安全区域边界测评内容</w:t>
            </w:r>
          </w:p>
          <w:tbl>
            <w:tblPr>
              <w:tblStyle w:val="20"/>
              <w:tblW w:w="7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843"/>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47" w:type="dxa"/>
                  <w:shd w:val="clear" w:color="000000" w:fill="FFFFFF"/>
                  <w:vAlign w:val="center"/>
                </w:tcPr>
                <w:p>
                  <w:pPr>
                    <w:rPr>
                      <w:rFonts w:ascii="仿宋" w:hAnsi="仿宋" w:eastAsia="仿宋" w:cs="宋体"/>
                      <w:b/>
                      <w:bCs/>
                      <w:sz w:val="24"/>
                      <w:szCs w:val="24"/>
                    </w:rPr>
                  </w:pPr>
                  <w:r>
                    <w:rPr>
                      <w:rFonts w:hint="eastAsia" w:ascii="仿宋" w:hAnsi="仿宋" w:eastAsia="仿宋" w:cs="宋体"/>
                      <w:b/>
                      <w:bCs/>
                      <w:sz w:val="24"/>
                      <w:szCs w:val="24"/>
                    </w:rPr>
                    <w:t>序号</w:t>
                  </w:r>
                </w:p>
              </w:tc>
              <w:tc>
                <w:tcPr>
                  <w:tcW w:w="1843" w:type="dxa"/>
                  <w:shd w:val="clear" w:color="000000" w:fill="FFFFFF"/>
                  <w:vAlign w:val="center"/>
                </w:tcPr>
                <w:p>
                  <w:pPr>
                    <w:jc w:val="center"/>
                    <w:rPr>
                      <w:rFonts w:ascii="仿宋" w:hAnsi="仿宋" w:eastAsia="仿宋" w:cs="宋体"/>
                      <w:b/>
                      <w:bCs/>
                      <w:sz w:val="24"/>
                      <w:szCs w:val="24"/>
                    </w:rPr>
                  </w:pPr>
                  <w:r>
                    <w:rPr>
                      <w:rFonts w:hint="eastAsia" w:ascii="仿宋" w:hAnsi="仿宋" w:eastAsia="仿宋" w:cs="宋体"/>
                      <w:b/>
                      <w:bCs/>
                      <w:sz w:val="24"/>
                      <w:szCs w:val="24"/>
                    </w:rPr>
                    <w:t>工作单元名称</w:t>
                  </w:r>
                </w:p>
              </w:tc>
              <w:tc>
                <w:tcPr>
                  <w:tcW w:w="4536" w:type="dxa"/>
                  <w:shd w:val="clear" w:color="000000" w:fill="FFFFFF"/>
                  <w:vAlign w:val="center"/>
                </w:tcPr>
                <w:p>
                  <w:pPr>
                    <w:jc w:val="center"/>
                    <w:rPr>
                      <w:rFonts w:ascii="仿宋" w:hAnsi="仿宋" w:eastAsia="仿宋" w:cs="宋体"/>
                      <w:b/>
                      <w:bCs/>
                      <w:sz w:val="24"/>
                      <w:szCs w:val="24"/>
                    </w:rPr>
                  </w:pPr>
                  <w:r>
                    <w:rPr>
                      <w:rFonts w:hint="eastAsia" w:ascii="仿宋" w:hAnsi="仿宋" w:eastAsia="仿宋" w:cs="宋体"/>
                      <w:b/>
                      <w:bCs/>
                      <w:sz w:val="24"/>
                      <w:szCs w:val="24"/>
                    </w:rPr>
                    <w:t>工作单元描述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47" w:type="dxa"/>
                  <w:vAlign w:val="center"/>
                </w:tcPr>
                <w:p>
                  <w:pPr>
                    <w:jc w:val="center"/>
                    <w:rPr>
                      <w:rFonts w:ascii="仿宋" w:hAnsi="仿宋" w:eastAsia="仿宋" w:cs="宋体"/>
                      <w:sz w:val="24"/>
                      <w:szCs w:val="24"/>
                    </w:rPr>
                  </w:pPr>
                  <w:r>
                    <w:rPr>
                      <w:rFonts w:ascii="仿宋" w:hAnsi="仿宋" w:eastAsia="仿宋" w:cs="宋体"/>
                      <w:sz w:val="24"/>
                      <w:szCs w:val="24"/>
                    </w:rPr>
                    <w:t>1</w:t>
                  </w:r>
                </w:p>
              </w:tc>
              <w:tc>
                <w:tcPr>
                  <w:tcW w:w="1843" w:type="dxa"/>
                  <w:vAlign w:val="center"/>
                </w:tcPr>
                <w:p>
                  <w:pPr>
                    <w:jc w:val="center"/>
                    <w:rPr>
                      <w:rFonts w:ascii="仿宋" w:hAnsi="仿宋" w:eastAsia="仿宋" w:cs="宋体"/>
                      <w:sz w:val="24"/>
                      <w:szCs w:val="24"/>
                    </w:rPr>
                  </w:pPr>
                  <w:r>
                    <w:rPr>
                      <w:rFonts w:hint="eastAsia" w:ascii="仿宋" w:hAnsi="仿宋" w:eastAsia="仿宋" w:cs="Arial"/>
                      <w:snapToGrid w:val="0"/>
                      <w:sz w:val="24"/>
                      <w:szCs w:val="24"/>
                      <w:lang w:eastAsia="zh-TW"/>
                    </w:rPr>
                    <w:t>边界防护</w:t>
                  </w:r>
                </w:p>
              </w:tc>
              <w:tc>
                <w:tcPr>
                  <w:tcW w:w="4536" w:type="dxa"/>
                  <w:vAlign w:val="center"/>
                </w:tcPr>
                <w:p>
                  <w:pPr>
                    <w:rPr>
                      <w:rFonts w:ascii="仿宋" w:hAnsi="仿宋" w:eastAsia="仿宋" w:cs="Arial"/>
                      <w:snapToGrid w:val="0"/>
                      <w:sz w:val="24"/>
                      <w:szCs w:val="24"/>
                    </w:rPr>
                  </w:pPr>
                  <w:r>
                    <w:rPr>
                      <w:rFonts w:hint="eastAsia" w:ascii="仿宋" w:hAnsi="仿宋" w:eastAsia="仿宋" w:cs="Arial"/>
                      <w:snapToGrid w:val="0"/>
                      <w:sz w:val="24"/>
                      <w:szCs w:val="24"/>
                    </w:rPr>
                    <w:t>检查网络边界是否有访问控制设备，访问控制策略是否合理，是否关闭了闲置端口等。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47" w:type="dxa"/>
                  <w:vAlign w:val="center"/>
                </w:tcPr>
                <w:p>
                  <w:pPr>
                    <w:jc w:val="center"/>
                    <w:rPr>
                      <w:rFonts w:ascii="仿宋" w:hAnsi="仿宋" w:eastAsia="仿宋" w:cs="宋体"/>
                      <w:sz w:val="24"/>
                      <w:szCs w:val="24"/>
                    </w:rPr>
                  </w:pPr>
                  <w:r>
                    <w:rPr>
                      <w:rFonts w:ascii="仿宋" w:hAnsi="仿宋" w:eastAsia="仿宋" w:cs="宋体"/>
                      <w:sz w:val="24"/>
                      <w:szCs w:val="24"/>
                    </w:rPr>
                    <w:t>2</w:t>
                  </w:r>
                </w:p>
              </w:tc>
              <w:tc>
                <w:tcPr>
                  <w:tcW w:w="1843" w:type="dxa"/>
                  <w:vAlign w:val="center"/>
                </w:tcPr>
                <w:p>
                  <w:pPr>
                    <w:jc w:val="center"/>
                    <w:rPr>
                      <w:rFonts w:ascii="仿宋" w:hAnsi="仿宋" w:eastAsia="仿宋" w:cs="宋体"/>
                      <w:sz w:val="24"/>
                      <w:szCs w:val="24"/>
                    </w:rPr>
                  </w:pPr>
                  <w:r>
                    <w:rPr>
                      <w:rFonts w:hint="eastAsia" w:ascii="仿宋" w:hAnsi="仿宋" w:eastAsia="仿宋" w:cs="Arial"/>
                      <w:snapToGrid w:val="0"/>
                      <w:sz w:val="24"/>
                      <w:szCs w:val="24"/>
                      <w:lang w:eastAsia="zh-TW"/>
                    </w:rPr>
                    <w:t>访问控制</w:t>
                  </w:r>
                </w:p>
              </w:tc>
              <w:tc>
                <w:tcPr>
                  <w:tcW w:w="4536" w:type="dxa"/>
                  <w:vAlign w:val="center"/>
                </w:tcPr>
                <w:p>
                  <w:pP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检查网络中的访问控制策略是否合理、有效。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47" w:type="dxa"/>
                  <w:vAlign w:val="center"/>
                </w:tcPr>
                <w:p>
                  <w:pPr>
                    <w:jc w:val="center"/>
                    <w:rPr>
                      <w:rFonts w:ascii="仿宋" w:hAnsi="仿宋" w:eastAsia="仿宋" w:cs="宋体"/>
                      <w:sz w:val="24"/>
                      <w:szCs w:val="24"/>
                    </w:rPr>
                  </w:pPr>
                  <w:r>
                    <w:rPr>
                      <w:rFonts w:ascii="仿宋" w:hAnsi="仿宋" w:eastAsia="仿宋" w:cs="宋体"/>
                      <w:sz w:val="24"/>
                      <w:szCs w:val="24"/>
                    </w:rPr>
                    <w:t>3</w:t>
                  </w:r>
                </w:p>
              </w:tc>
              <w:tc>
                <w:tcPr>
                  <w:tcW w:w="1843" w:type="dxa"/>
                  <w:vAlign w:val="center"/>
                </w:tcPr>
                <w:p>
                  <w:pPr>
                    <w:jc w:val="center"/>
                    <w:rPr>
                      <w:rFonts w:ascii="仿宋" w:hAnsi="仿宋" w:eastAsia="仿宋" w:cs="宋体"/>
                      <w:sz w:val="24"/>
                      <w:szCs w:val="24"/>
                    </w:rPr>
                  </w:pPr>
                  <w:r>
                    <w:rPr>
                      <w:rFonts w:hint="eastAsia" w:ascii="仿宋" w:hAnsi="仿宋" w:eastAsia="仿宋" w:cs="Arial"/>
                      <w:snapToGrid w:val="0"/>
                      <w:sz w:val="24"/>
                      <w:szCs w:val="24"/>
                      <w:lang w:eastAsia="zh-TW"/>
                    </w:rPr>
                    <w:t>入侵防范</w:t>
                  </w:r>
                </w:p>
              </w:tc>
              <w:tc>
                <w:tcPr>
                  <w:tcW w:w="4536" w:type="dxa"/>
                  <w:vAlign w:val="center"/>
                </w:tcPr>
                <w:p>
                  <w:pP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检查网络中是否采用了入侵防范措施，验证该措施是否有效。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47" w:type="dxa"/>
                  <w:vAlign w:val="center"/>
                </w:tcPr>
                <w:p>
                  <w:pPr>
                    <w:jc w:val="center"/>
                    <w:rPr>
                      <w:rFonts w:ascii="仿宋" w:hAnsi="仿宋" w:eastAsia="仿宋" w:cs="宋体"/>
                      <w:sz w:val="24"/>
                      <w:szCs w:val="24"/>
                    </w:rPr>
                  </w:pPr>
                  <w:r>
                    <w:rPr>
                      <w:rFonts w:hint="eastAsia" w:ascii="仿宋" w:hAnsi="仿宋" w:eastAsia="仿宋" w:cs="宋体"/>
                      <w:sz w:val="24"/>
                      <w:szCs w:val="24"/>
                    </w:rPr>
                    <w:t>4</w:t>
                  </w:r>
                </w:p>
              </w:tc>
              <w:tc>
                <w:tcPr>
                  <w:tcW w:w="1843" w:type="dxa"/>
                  <w:vAlign w:val="center"/>
                </w:tcPr>
                <w:p>
                  <w:pPr>
                    <w:jc w:val="cente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恶意代码和垃圾邮件防范</w:t>
                  </w:r>
                </w:p>
              </w:tc>
              <w:tc>
                <w:tcPr>
                  <w:tcW w:w="4536" w:type="dxa"/>
                  <w:vAlign w:val="center"/>
                </w:tcPr>
                <w:p>
                  <w:pP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检查网络中是否有恶意代码和垃圾邮件防范措施。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47" w:type="dxa"/>
                  <w:vAlign w:val="center"/>
                </w:tcPr>
                <w:p>
                  <w:pPr>
                    <w:jc w:val="center"/>
                    <w:rPr>
                      <w:rFonts w:ascii="仿宋" w:hAnsi="仿宋" w:eastAsia="仿宋" w:cs="宋体"/>
                      <w:sz w:val="24"/>
                      <w:szCs w:val="24"/>
                    </w:rPr>
                  </w:pPr>
                  <w:r>
                    <w:rPr>
                      <w:rFonts w:hint="eastAsia" w:ascii="仿宋" w:hAnsi="仿宋" w:eastAsia="仿宋" w:cs="宋体"/>
                      <w:sz w:val="24"/>
                      <w:szCs w:val="24"/>
                    </w:rPr>
                    <w:t>5</w:t>
                  </w:r>
                </w:p>
              </w:tc>
              <w:tc>
                <w:tcPr>
                  <w:tcW w:w="1843" w:type="dxa"/>
                  <w:vAlign w:val="center"/>
                </w:tcPr>
                <w:p>
                  <w:pPr>
                    <w:jc w:val="cente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安全审计</w:t>
                  </w:r>
                </w:p>
              </w:tc>
              <w:tc>
                <w:tcPr>
                  <w:tcW w:w="4536" w:type="dxa"/>
                  <w:vAlign w:val="center"/>
                </w:tcPr>
                <w:p>
                  <w:pP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检查网络中是否有综合安全审计措施。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47" w:type="dxa"/>
                  <w:vAlign w:val="center"/>
                </w:tcPr>
                <w:p>
                  <w:pPr>
                    <w:jc w:val="center"/>
                    <w:rPr>
                      <w:rFonts w:ascii="仿宋" w:hAnsi="仿宋" w:eastAsia="仿宋" w:cs="宋体"/>
                      <w:sz w:val="24"/>
                      <w:szCs w:val="24"/>
                    </w:rPr>
                  </w:pPr>
                  <w:r>
                    <w:rPr>
                      <w:rFonts w:hint="eastAsia" w:ascii="仿宋" w:hAnsi="仿宋" w:eastAsia="仿宋" w:cs="宋体"/>
                      <w:sz w:val="24"/>
                      <w:szCs w:val="24"/>
                    </w:rPr>
                    <w:t>6</w:t>
                  </w:r>
                </w:p>
              </w:tc>
              <w:tc>
                <w:tcPr>
                  <w:tcW w:w="1843" w:type="dxa"/>
                  <w:vAlign w:val="center"/>
                </w:tcPr>
                <w:p>
                  <w:pPr>
                    <w:jc w:val="cente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可信验证</w:t>
                  </w:r>
                </w:p>
              </w:tc>
              <w:tc>
                <w:tcPr>
                  <w:tcW w:w="4536" w:type="dxa"/>
                  <w:vAlign w:val="center"/>
                </w:tcPr>
                <w:p>
                  <w:pP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检查设备是否进行可信验证。</w:t>
                  </w:r>
                </w:p>
              </w:tc>
            </w:tr>
          </w:tbl>
          <w:p>
            <w:pPr>
              <w:rPr>
                <w:rFonts w:ascii="仿宋" w:hAnsi="仿宋" w:eastAsia="仿宋" w:cs="宋体"/>
                <w:sz w:val="24"/>
                <w:szCs w:val="24"/>
              </w:rPr>
            </w:pP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（4）安全计算环境</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安全计算环境检查主要是了解系统的运行环境是否采取了相关安全措施，涉及对象为网络设备、安全设备、操作系统、数据库、中间件等。在内容上，安全计算环境层面测评实施过程涉及的工作单元，具体如下表：</w:t>
            </w:r>
          </w:p>
          <w:p>
            <w:pPr>
              <w:spacing w:before="236" w:beforeLines="50" w:after="236" w:afterLines="50" w:line="276" w:lineRule="auto"/>
              <w:ind w:firstLine="360" w:firstLineChars="150"/>
              <w:jc w:val="center"/>
              <w:rPr>
                <w:rFonts w:ascii="仿宋" w:hAnsi="仿宋" w:eastAsia="仿宋" w:cs="宋体"/>
                <w:sz w:val="24"/>
                <w:szCs w:val="24"/>
              </w:rPr>
            </w:pPr>
            <w:r>
              <w:rPr>
                <w:rFonts w:hint="eastAsia" w:ascii="仿宋" w:hAnsi="仿宋" w:eastAsia="仿宋" w:cs="宋体"/>
                <w:sz w:val="24"/>
                <w:szCs w:val="24"/>
              </w:rPr>
              <w:t>表</w:t>
            </w:r>
            <w:r>
              <w:rPr>
                <w:rFonts w:ascii="仿宋" w:hAnsi="仿宋" w:eastAsia="仿宋" w:cs="宋体"/>
                <w:sz w:val="24"/>
                <w:szCs w:val="24"/>
              </w:rPr>
              <w:t>4</w:t>
            </w:r>
            <w:r>
              <w:rPr>
                <w:rFonts w:hint="eastAsia" w:ascii="仿宋" w:hAnsi="仿宋" w:eastAsia="仿宋" w:cs="宋体"/>
                <w:sz w:val="24"/>
                <w:szCs w:val="24"/>
              </w:rPr>
              <w:t>应用系统安全测评内容</w:t>
            </w:r>
          </w:p>
          <w:tbl>
            <w:tblPr>
              <w:tblStyle w:val="20"/>
              <w:tblW w:w="7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843"/>
              <w:gridCol w:w="4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7" w:type="dxa"/>
                  <w:shd w:val="clear" w:color="000000" w:fill="FFFFFF"/>
                  <w:vAlign w:val="center"/>
                </w:tcPr>
                <w:p>
                  <w:pPr>
                    <w:rPr>
                      <w:rFonts w:ascii="仿宋" w:hAnsi="仿宋" w:eastAsia="仿宋" w:cs="宋体"/>
                      <w:b/>
                      <w:bCs/>
                      <w:sz w:val="24"/>
                      <w:szCs w:val="24"/>
                    </w:rPr>
                  </w:pPr>
                  <w:r>
                    <w:rPr>
                      <w:rFonts w:hint="eastAsia" w:ascii="仿宋" w:hAnsi="仿宋" w:eastAsia="仿宋" w:cs="宋体"/>
                      <w:b/>
                      <w:bCs/>
                      <w:sz w:val="24"/>
                      <w:szCs w:val="24"/>
                    </w:rPr>
                    <w:t>序号</w:t>
                  </w:r>
                </w:p>
              </w:tc>
              <w:tc>
                <w:tcPr>
                  <w:tcW w:w="1843" w:type="dxa"/>
                  <w:shd w:val="clear" w:color="000000" w:fill="FFFFFF"/>
                  <w:vAlign w:val="center"/>
                </w:tcPr>
                <w:p>
                  <w:pPr>
                    <w:jc w:val="center"/>
                    <w:rPr>
                      <w:rFonts w:ascii="仿宋" w:hAnsi="仿宋" w:eastAsia="仿宋" w:cs="宋体"/>
                      <w:b/>
                      <w:bCs/>
                      <w:sz w:val="24"/>
                      <w:szCs w:val="24"/>
                    </w:rPr>
                  </w:pPr>
                  <w:r>
                    <w:rPr>
                      <w:rFonts w:hint="eastAsia" w:ascii="仿宋" w:hAnsi="仿宋" w:eastAsia="仿宋" w:cs="宋体"/>
                      <w:b/>
                      <w:bCs/>
                      <w:sz w:val="24"/>
                      <w:szCs w:val="24"/>
                    </w:rPr>
                    <w:t>工作单元名称</w:t>
                  </w:r>
                </w:p>
              </w:tc>
              <w:tc>
                <w:tcPr>
                  <w:tcW w:w="4471" w:type="dxa"/>
                  <w:shd w:val="clear" w:color="000000" w:fill="FFFFFF"/>
                  <w:vAlign w:val="center"/>
                </w:tcPr>
                <w:p>
                  <w:pPr>
                    <w:jc w:val="center"/>
                    <w:rPr>
                      <w:rFonts w:ascii="仿宋" w:hAnsi="仿宋" w:eastAsia="仿宋" w:cs="宋体"/>
                      <w:b/>
                      <w:bCs/>
                      <w:sz w:val="24"/>
                      <w:szCs w:val="24"/>
                    </w:rPr>
                  </w:pPr>
                  <w:r>
                    <w:rPr>
                      <w:rFonts w:hint="eastAsia" w:ascii="仿宋" w:hAnsi="仿宋" w:eastAsia="仿宋" w:cs="宋体"/>
                      <w:b/>
                      <w:bCs/>
                      <w:sz w:val="24"/>
                      <w:szCs w:val="24"/>
                    </w:rPr>
                    <w:t>工作单元描述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77" w:type="dxa"/>
                  <w:vAlign w:val="center"/>
                </w:tcPr>
                <w:p>
                  <w:pPr>
                    <w:jc w:val="center"/>
                    <w:rPr>
                      <w:rFonts w:ascii="仿宋" w:hAnsi="仿宋" w:eastAsia="仿宋" w:cs="宋体"/>
                      <w:sz w:val="24"/>
                      <w:szCs w:val="24"/>
                    </w:rPr>
                  </w:pPr>
                  <w:r>
                    <w:rPr>
                      <w:rFonts w:ascii="仿宋" w:hAnsi="仿宋" w:eastAsia="仿宋" w:cs="宋体"/>
                      <w:sz w:val="24"/>
                      <w:szCs w:val="24"/>
                    </w:rPr>
                    <w:t>1</w:t>
                  </w:r>
                </w:p>
              </w:tc>
              <w:tc>
                <w:tcPr>
                  <w:tcW w:w="1843" w:type="dxa"/>
                  <w:vAlign w:val="center"/>
                </w:tcPr>
                <w:p>
                  <w:pPr>
                    <w:jc w:val="center"/>
                    <w:rPr>
                      <w:rFonts w:ascii="仿宋" w:hAnsi="仿宋" w:eastAsia="仿宋" w:cs="宋体"/>
                      <w:sz w:val="24"/>
                      <w:szCs w:val="24"/>
                    </w:rPr>
                  </w:pPr>
                  <w:r>
                    <w:rPr>
                      <w:rFonts w:hint="eastAsia" w:ascii="仿宋" w:hAnsi="仿宋" w:eastAsia="仿宋" w:cs="Arial"/>
                      <w:snapToGrid w:val="0"/>
                      <w:sz w:val="24"/>
                      <w:szCs w:val="24"/>
                      <w:lang w:eastAsia="zh-TW"/>
                    </w:rPr>
                    <w:t>身份鉴别</w:t>
                  </w:r>
                </w:p>
              </w:tc>
              <w:tc>
                <w:tcPr>
                  <w:tcW w:w="4471" w:type="dxa"/>
                  <w:vAlign w:val="center"/>
                </w:tcPr>
                <w:p>
                  <w:pPr>
                    <w:rPr>
                      <w:rFonts w:ascii="仿宋" w:hAnsi="仿宋" w:eastAsia="仿宋" w:cs="Arial"/>
                      <w:snapToGrid w:val="0"/>
                      <w:sz w:val="24"/>
                      <w:szCs w:val="24"/>
                    </w:rPr>
                  </w:pPr>
                  <w:r>
                    <w:rPr>
                      <w:rFonts w:hint="eastAsia" w:ascii="仿宋" w:hAnsi="仿宋" w:eastAsia="仿宋" w:cs="Arial"/>
                      <w:snapToGrid w:val="0"/>
                      <w:sz w:val="24"/>
                      <w:szCs w:val="24"/>
                    </w:rPr>
                    <w:t>检查所有设备的登录用户是否有身份鉴别措施，是否有复杂度、唯一性等检查。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77" w:type="dxa"/>
                  <w:vAlign w:val="center"/>
                </w:tcPr>
                <w:p>
                  <w:pPr>
                    <w:jc w:val="center"/>
                    <w:rPr>
                      <w:rFonts w:ascii="仿宋" w:hAnsi="仿宋" w:eastAsia="仿宋" w:cs="宋体"/>
                      <w:sz w:val="24"/>
                      <w:szCs w:val="24"/>
                    </w:rPr>
                  </w:pPr>
                  <w:r>
                    <w:rPr>
                      <w:rFonts w:ascii="仿宋" w:hAnsi="仿宋" w:eastAsia="仿宋" w:cs="宋体"/>
                      <w:sz w:val="24"/>
                      <w:szCs w:val="24"/>
                    </w:rPr>
                    <w:t>2</w:t>
                  </w:r>
                </w:p>
              </w:tc>
              <w:tc>
                <w:tcPr>
                  <w:tcW w:w="1843" w:type="dxa"/>
                  <w:vAlign w:val="center"/>
                </w:tcPr>
                <w:p>
                  <w:pPr>
                    <w:jc w:val="center"/>
                    <w:rPr>
                      <w:rFonts w:ascii="仿宋" w:hAnsi="仿宋" w:eastAsia="仿宋" w:cs="宋体"/>
                      <w:sz w:val="24"/>
                      <w:szCs w:val="24"/>
                    </w:rPr>
                  </w:pPr>
                  <w:r>
                    <w:rPr>
                      <w:rFonts w:hint="eastAsia" w:ascii="仿宋" w:hAnsi="仿宋" w:eastAsia="仿宋" w:cs="Arial"/>
                      <w:snapToGrid w:val="0"/>
                      <w:sz w:val="24"/>
                      <w:szCs w:val="24"/>
                      <w:lang w:eastAsia="zh-TW"/>
                    </w:rPr>
                    <w:t>访问控制</w:t>
                  </w:r>
                </w:p>
              </w:tc>
              <w:tc>
                <w:tcPr>
                  <w:tcW w:w="4471" w:type="dxa"/>
                  <w:vAlign w:val="center"/>
                </w:tcPr>
                <w:p>
                  <w:pP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检查用户的权限分配情况，默认用户和默认口令使用情况等。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77" w:type="dxa"/>
                  <w:vAlign w:val="center"/>
                </w:tcPr>
                <w:p>
                  <w:pPr>
                    <w:jc w:val="center"/>
                    <w:rPr>
                      <w:rFonts w:ascii="仿宋" w:hAnsi="仿宋" w:eastAsia="仿宋" w:cs="宋体"/>
                      <w:sz w:val="24"/>
                      <w:szCs w:val="24"/>
                    </w:rPr>
                  </w:pPr>
                  <w:r>
                    <w:rPr>
                      <w:rFonts w:ascii="仿宋" w:hAnsi="仿宋" w:eastAsia="仿宋" w:cs="宋体"/>
                      <w:sz w:val="24"/>
                      <w:szCs w:val="24"/>
                    </w:rPr>
                    <w:t>3</w:t>
                  </w:r>
                </w:p>
              </w:tc>
              <w:tc>
                <w:tcPr>
                  <w:tcW w:w="1843" w:type="dxa"/>
                  <w:vAlign w:val="center"/>
                </w:tcPr>
                <w:p>
                  <w:pPr>
                    <w:jc w:val="center"/>
                    <w:rPr>
                      <w:rFonts w:ascii="仿宋" w:hAnsi="仿宋" w:eastAsia="仿宋" w:cs="宋体"/>
                      <w:sz w:val="24"/>
                      <w:szCs w:val="24"/>
                    </w:rPr>
                  </w:pPr>
                  <w:r>
                    <w:rPr>
                      <w:rFonts w:hint="eastAsia" w:ascii="仿宋" w:hAnsi="仿宋" w:eastAsia="仿宋" w:cs="Arial"/>
                      <w:snapToGrid w:val="0"/>
                      <w:sz w:val="24"/>
                      <w:szCs w:val="24"/>
                      <w:lang w:eastAsia="zh-TW"/>
                    </w:rPr>
                    <w:t>安全审计</w:t>
                  </w:r>
                </w:p>
              </w:tc>
              <w:tc>
                <w:tcPr>
                  <w:tcW w:w="4471" w:type="dxa"/>
                  <w:vAlign w:val="center"/>
                </w:tcPr>
                <w:p>
                  <w:pP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检查是否开启安全审计功能，是否能审计到每个用户，审计记录是否有保护措施。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77" w:type="dxa"/>
                  <w:vAlign w:val="center"/>
                </w:tcPr>
                <w:p>
                  <w:pPr>
                    <w:jc w:val="center"/>
                    <w:rPr>
                      <w:rFonts w:ascii="仿宋" w:hAnsi="仿宋" w:eastAsia="仿宋" w:cs="宋体"/>
                      <w:sz w:val="24"/>
                      <w:szCs w:val="24"/>
                    </w:rPr>
                  </w:pPr>
                  <w:r>
                    <w:rPr>
                      <w:rFonts w:hint="eastAsia" w:ascii="仿宋" w:hAnsi="仿宋" w:eastAsia="仿宋" w:cs="宋体"/>
                      <w:sz w:val="24"/>
                      <w:szCs w:val="24"/>
                    </w:rPr>
                    <w:t>4</w:t>
                  </w:r>
                </w:p>
              </w:tc>
              <w:tc>
                <w:tcPr>
                  <w:tcW w:w="1843" w:type="dxa"/>
                  <w:vAlign w:val="center"/>
                </w:tcPr>
                <w:p>
                  <w:pPr>
                    <w:jc w:val="cente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入侵防范</w:t>
                  </w:r>
                </w:p>
              </w:tc>
              <w:tc>
                <w:tcPr>
                  <w:tcW w:w="4471" w:type="dxa"/>
                  <w:vAlign w:val="center"/>
                </w:tcPr>
                <w:p>
                  <w:pPr>
                    <w:rPr>
                      <w:rFonts w:ascii="仿宋" w:hAnsi="仿宋" w:eastAsia="仿宋" w:cs="Arial"/>
                      <w:snapToGrid w:val="0"/>
                      <w:sz w:val="24"/>
                      <w:szCs w:val="24"/>
                      <w:lang w:eastAsia="zh-TW"/>
                    </w:rPr>
                  </w:pPr>
                  <w:r>
                    <w:rPr>
                      <w:rFonts w:hint="eastAsia" w:ascii="仿宋" w:hAnsi="仿宋" w:eastAsia="仿宋" w:cs="宋体"/>
                      <w:sz w:val="24"/>
                      <w:szCs w:val="24"/>
                    </w:rPr>
                    <w:t>检查设备在运行过程中的入侵防范措施，如关闭不需要的端口和服务、最小化安装、部署入侵防范产品等。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77" w:type="dxa"/>
                  <w:vAlign w:val="center"/>
                </w:tcPr>
                <w:p>
                  <w:pPr>
                    <w:jc w:val="center"/>
                    <w:rPr>
                      <w:rFonts w:ascii="仿宋" w:hAnsi="仿宋" w:eastAsia="仿宋" w:cs="宋体"/>
                      <w:sz w:val="24"/>
                      <w:szCs w:val="24"/>
                    </w:rPr>
                  </w:pPr>
                  <w:r>
                    <w:rPr>
                      <w:rFonts w:hint="eastAsia" w:ascii="仿宋" w:hAnsi="仿宋" w:eastAsia="仿宋" w:cs="宋体"/>
                      <w:sz w:val="24"/>
                      <w:szCs w:val="24"/>
                    </w:rPr>
                    <w:t>5</w:t>
                  </w:r>
                </w:p>
              </w:tc>
              <w:tc>
                <w:tcPr>
                  <w:tcW w:w="1843" w:type="dxa"/>
                  <w:vAlign w:val="center"/>
                </w:tcPr>
                <w:p>
                  <w:pPr>
                    <w:jc w:val="cente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恶意代码防范</w:t>
                  </w:r>
                </w:p>
              </w:tc>
              <w:tc>
                <w:tcPr>
                  <w:tcW w:w="4471" w:type="dxa"/>
                  <w:vAlign w:val="center"/>
                </w:tcPr>
                <w:p>
                  <w:pPr>
                    <w:rPr>
                      <w:rFonts w:ascii="仿宋" w:hAnsi="仿宋" w:eastAsia="仿宋" w:cs="Arial"/>
                      <w:snapToGrid w:val="0"/>
                      <w:sz w:val="24"/>
                      <w:szCs w:val="24"/>
                      <w:lang w:eastAsia="zh-TW"/>
                    </w:rPr>
                  </w:pPr>
                  <w:r>
                    <w:rPr>
                      <w:rFonts w:hint="eastAsia" w:ascii="仿宋" w:hAnsi="仿宋" w:eastAsia="仿宋" w:cs="宋体"/>
                      <w:sz w:val="24"/>
                      <w:szCs w:val="24"/>
                    </w:rPr>
                    <w:t>检查设备的恶意代码防范情况。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77" w:type="dxa"/>
                  <w:vAlign w:val="center"/>
                </w:tcPr>
                <w:p>
                  <w:pPr>
                    <w:jc w:val="center"/>
                    <w:rPr>
                      <w:rFonts w:ascii="仿宋" w:hAnsi="仿宋" w:eastAsia="仿宋" w:cs="宋体"/>
                      <w:sz w:val="24"/>
                      <w:szCs w:val="24"/>
                    </w:rPr>
                  </w:pPr>
                  <w:r>
                    <w:rPr>
                      <w:rFonts w:hint="eastAsia" w:ascii="仿宋" w:hAnsi="仿宋" w:eastAsia="仿宋" w:cs="宋体"/>
                      <w:sz w:val="24"/>
                      <w:szCs w:val="24"/>
                    </w:rPr>
                    <w:t>6</w:t>
                  </w:r>
                </w:p>
              </w:tc>
              <w:tc>
                <w:tcPr>
                  <w:tcW w:w="1843" w:type="dxa"/>
                  <w:vAlign w:val="center"/>
                </w:tcPr>
                <w:p>
                  <w:pPr>
                    <w:jc w:val="cente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可信验证</w:t>
                  </w:r>
                </w:p>
              </w:tc>
              <w:tc>
                <w:tcPr>
                  <w:tcW w:w="4471" w:type="dxa"/>
                  <w:vAlign w:val="center"/>
                </w:tcPr>
                <w:p>
                  <w:pP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检查设备是否进行可信验证。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77" w:type="dxa"/>
                  <w:vAlign w:val="center"/>
                </w:tcPr>
                <w:p>
                  <w:pPr>
                    <w:jc w:val="center"/>
                    <w:rPr>
                      <w:rFonts w:ascii="仿宋" w:hAnsi="仿宋" w:eastAsia="仿宋" w:cs="宋体"/>
                      <w:sz w:val="24"/>
                      <w:szCs w:val="24"/>
                    </w:rPr>
                  </w:pPr>
                  <w:r>
                    <w:rPr>
                      <w:rFonts w:hint="eastAsia" w:ascii="仿宋" w:hAnsi="仿宋" w:eastAsia="仿宋" w:cs="宋体"/>
                      <w:sz w:val="24"/>
                      <w:szCs w:val="24"/>
                    </w:rPr>
                    <w:t>7</w:t>
                  </w:r>
                </w:p>
              </w:tc>
              <w:tc>
                <w:tcPr>
                  <w:tcW w:w="1843" w:type="dxa"/>
                  <w:vAlign w:val="center"/>
                </w:tcPr>
                <w:p>
                  <w:pPr>
                    <w:jc w:val="cente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数据完整性</w:t>
                  </w:r>
                </w:p>
              </w:tc>
              <w:tc>
                <w:tcPr>
                  <w:tcW w:w="4471" w:type="dxa"/>
                  <w:vAlign w:val="center"/>
                </w:tcPr>
                <w:p>
                  <w:pP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检查系统数据的传输完整性和存储完整性措施。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77" w:type="dxa"/>
                  <w:vAlign w:val="center"/>
                </w:tcPr>
                <w:p>
                  <w:pPr>
                    <w:jc w:val="center"/>
                    <w:rPr>
                      <w:rFonts w:ascii="仿宋" w:hAnsi="仿宋" w:eastAsia="仿宋" w:cs="宋体"/>
                      <w:sz w:val="24"/>
                      <w:szCs w:val="24"/>
                    </w:rPr>
                  </w:pPr>
                  <w:r>
                    <w:rPr>
                      <w:rFonts w:hint="eastAsia" w:ascii="仿宋" w:hAnsi="仿宋" w:eastAsia="仿宋" w:cs="宋体"/>
                      <w:sz w:val="24"/>
                      <w:szCs w:val="24"/>
                    </w:rPr>
                    <w:t>8</w:t>
                  </w:r>
                </w:p>
              </w:tc>
              <w:tc>
                <w:tcPr>
                  <w:tcW w:w="1843" w:type="dxa"/>
                  <w:vAlign w:val="center"/>
                </w:tcPr>
                <w:p>
                  <w:pPr>
                    <w:jc w:val="cente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数据保密性</w:t>
                  </w:r>
                </w:p>
              </w:tc>
              <w:tc>
                <w:tcPr>
                  <w:tcW w:w="4471" w:type="dxa"/>
                  <w:vAlign w:val="center"/>
                </w:tcPr>
                <w:p>
                  <w:pP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检查系统数据的传输保密性和存储保密性措施。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77" w:type="dxa"/>
                  <w:vAlign w:val="center"/>
                </w:tcPr>
                <w:p>
                  <w:pPr>
                    <w:jc w:val="center"/>
                    <w:rPr>
                      <w:rFonts w:ascii="仿宋" w:hAnsi="仿宋" w:eastAsia="仿宋" w:cs="宋体"/>
                      <w:sz w:val="24"/>
                      <w:szCs w:val="24"/>
                    </w:rPr>
                  </w:pPr>
                  <w:r>
                    <w:rPr>
                      <w:rFonts w:hint="eastAsia" w:ascii="仿宋" w:hAnsi="仿宋" w:eastAsia="仿宋" w:cs="宋体"/>
                      <w:sz w:val="24"/>
                      <w:szCs w:val="24"/>
                    </w:rPr>
                    <w:t>9</w:t>
                  </w:r>
                </w:p>
              </w:tc>
              <w:tc>
                <w:tcPr>
                  <w:tcW w:w="1843" w:type="dxa"/>
                  <w:vAlign w:val="center"/>
                </w:tcPr>
                <w:p>
                  <w:pPr>
                    <w:jc w:val="cente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数据备份恢复</w:t>
                  </w:r>
                </w:p>
              </w:tc>
              <w:tc>
                <w:tcPr>
                  <w:tcW w:w="4471" w:type="dxa"/>
                  <w:vAlign w:val="center"/>
                </w:tcPr>
                <w:p>
                  <w:pPr>
                    <w:rPr>
                      <w:rFonts w:ascii="仿宋" w:hAnsi="仿宋" w:eastAsia="仿宋" w:cs="Arial"/>
                      <w:snapToGrid w:val="0"/>
                      <w:sz w:val="24"/>
                      <w:szCs w:val="24"/>
                      <w:lang w:eastAsia="zh-TW"/>
                    </w:rPr>
                  </w:pPr>
                  <w:r>
                    <w:rPr>
                      <w:rFonts w:hint="eastAsia" w:ascii="仿宋" w:hAnsi="仿宋" w:eastAsia="仿宋" w:cs="宋体"/>
                      <w:sz w:val="24"/>
                      <w:szCs w:val="24"/>
                    </w:rPr>
                    <w:t>检查系统的安全备份情况，如重要信息的备份、硬件和线路的冗余等。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77" w:type="dxa"/>
                  <w:vAlign w:val="center"/>
                </w:tcPr>
                <w:p>
                  <w:pPr>
                    <w:jc w:val="center"/>
                    <w:rPr>
                      <w:rFonts w:ascii="仿宋" w:hAnsi="仿宋" w:eastAsia="仿宋" w:cs="宋体"/>
                      <w:sz w:val="24"/>
                      <w:szCs w:val="24"/>
                    </w:rPr>
                  </w:pPr>
                  <w:r>
                    <w:rPr>
                      <w:rFonts w:hint="eastAsia" w:ascii="仿宋" w:hAnsi="仿宋" w:eastAsia="仿宋" w:cs="宋体"/>
                      <w:sz w:val="24"/>
                      <w:szCs w:val="24"/>
                    </w:rPr>
                    <w:t>10</w:t>
                  </w:r>
                </w:p>
              </w:tc>
              <w:tc>
                <w:tcPr>
                  <w:tcW w:w="1843" w:type="dxa"/>
                  <w:vAlign w:val="center"/>
                </w:tcPr>
                <w:p>
                  <w:pPr>
                    <w:jc w:val="cente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剩余信息保护</w:t>
                  </w:r>
                </w:p>
              </w:tc>
              <w:tc>
                <w:tcPr>
                  <w:tcW w:w="4471" w:type="dxa"/>
                  <w:vAlign w:val="center"/>
                </w:tcPr>
                <w:p>
                  <w:pPr>
                    <w:rPr>
                      <w:rFonts w:ascii="仿宋" w:hAnsi="仿宋" w:eastAsia="仿宋" w:cs="Arial"/>
                      <w:snapToGrid w:val="0"/>
                      <w:sz w:val="24"/>
                      <w:szCs w:val="24"/>
                      <w:lang w:eastAsia="zh-TW"/>
                    </w:rPr>
                  </w:pPr>
                  <w:r>
                    <w:rPr>
                      <w:rFonts w:hint="eastAsia" w:ascii="仿宋" w:hAnsi="仿宋" w:eastAsia="仿宋" w:cs="宋体"/>
                      <w:sz w:val="24"/>
                      <w:szCs w:val="24"/>
                    </w:rPr>
                    <w:t>检查系统的剩余信息保护情况，如将用户鉴别信息以及文件、目录和数据库记录等资源所在的存储空间再分配时的处理情况。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77" w:type="dxa"/>
                  <w:vAlign w:val="center"/>
                </w:tcPr>
                <w:p>
                  <w:pPr>
                    <w:jc w:val="center"/>
                    <w:rPr>
                      <w:rFonts w:ascii="仿宋" w:hAnsi="仿宋" w:eastAsia="仿宋" w:cs="宋体"/>
                      <w:sz w:val="24"/>
                      <w:szCs w:val="24"/>
                    </w:rPr>
                  </w:pPr>
                  <w:r>
                    <w:rPr>
                      <w:rFonts w:hint="eastAsia" w:ascii="仿宋" w:hAnsi="仿宋" w:eastAsia="仿宋" w:cs="宋体"/>
                      <w:sz w:val="24"/>
                      <w:szCs w:val="24"/>
                    </w:rPr>
                    <w:t>11</w:t>
                  </w:r>
                </w:p>
              </w:tc>
              <w:tc>
                <w:tcPr>
                  <w:tcW w:w="1843" w:type="dxa"/>
                  <w:vAlign w:val="center"/>
                </w:tcPr>
                <w:p>
                  <w:pPr>
                    <w:jc w:val="cente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个人信息保护</w:t>
                  </w:r>
                </w:p>
              </w:tc>
              <w:tc>
                <w:tcPr>
                  <w:tcW w:w="4471" w:type="dxa"/>
                  <w:vAlign w:val="center"/>
                </w:tcPr>
                <w:p>
                  <w:pP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检查系统对个人信息的采集和使用情况。</w:t>
                  </w:r>
                </w:p>
              </w:tc>
            </w:tr>
          </w:tbl>
          <w:p>
            <w:pPr>
              <w:rPr>
                <w:rFonts w:ascii="仿宋" w:hAnsi="仿宋" w:eastAsia="仿宋" w:cs="宋体"/>
                <w:sz w:val="24"/>
                <w:szCs w:val="24"/>
              </w:rPr>
            </w:pP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（5）安全管理中心</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安全管理中心检查主要是了解系统在管理、审计等集中管理的情况，涉及对象为综合管理类设备、综合审计类设备等。在内容上，安全管理中心实施过程涉及的工作单元，具体如下表：</w:t>
            </w:r>
          </w:p>
          <w:p>
            <w:pPr>
              <w:spacing w:before="236" w:beforeLines="50" w:after="236" w:afterLines="50" w:line="276" w:lineRule="auto"/>
              <w:ind w:firstLine="360" w:firstLineChars="150"/>
              <w:jc w:val="center"/>
              <w:rPr>
                <w:rFonts w:ascii="仿宋" w:hAnsi="仿宋" w:eastAsia="仿宋" w:cs="宋体"/>
                <w:sz w:val="24"/>
                <w:szCs w:val="24"/>
              </w:rPr>
            </w:pPr>
            <w:r>
              <w:rPr>
                <w:rFonts w:hint="eastAsia" w:ascii="仿宋" w:hAnsi="仿宋" w:eastAsia="仿宋" w:cs="宋体"/>
                <w:sz w:val="24"/>
                <w:szCs w:val="24"/>
              </w:rPr>
              <w:t>表</w:t>
            </w:r>
            <w:r>
              <w:rPr>
                <w:rFonts w:ascii="仿宋" w:hAnsi="仿宋" w:eastAsia="仿宋" w:cs="宋体"/>
                <w:sz w:val="24"/>
                <w:szCs w:val="24"/>
              </w:rPr>
              <w:t>5</w:t>
            </w:r>
            <w:r>
              <w:rPr>
                <w:rFonts w:hint="eastAsia" w:ascii="仿宋" w:hAnsi="仿宋" w:eastAsia="仿宋" w:cs="宋体"/>
                <w:sz w:val="24"/>
                <w:szCs w:val="24"/>
              </w:rPr>
              <w:t>安全管理中心测评内容</w:t>
            </w:r>
          </w:p>
          <w:tbl>
            <w:tblPr>
              <w:tblStyle w:val="20"/>
              <w:tblW w:w="7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843"/>
              <w:gridCol w:w="4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65" w:type="dxa"/>
                  <w:shd w:val="clear" w:color="000000" w:fill="FFFFFF"/>
                  <w:vAlign w:val="center"/>
                </w:tcPr>
                <w:p>
                  <w:pPr>
                    <w:rPr>
                      <w:rFonts w:ascii="仿宋" w:hAnsi="仿宋" w:eastAsia="仿宋" w:cs="宋体"/>
                      <w:b/>
                      <w:bCs/>
                      <w:sz w:val="24"/>
                      <w:szCs w:val="24"/>
                    </w:rPr>
                  </w:pPr>
                  <w:r>
                    <w:rPr>
                      <w:rFonts w:hint="eastAsia" w:ascii="仿宋" w:hAnsi="仿宋" w:eastAsia="仿宋" w:cs="宋体"/>
                      <w:b/>
                      <w:bCs/>
                      <w:sz w:val="24"/>
                      <w:szCs w:val="24"/>
                    </w:rPr>
                    <w:t>序号</w:t>
                  </w:r>
                </w:p>
              </w:tc>
              <w:tc>
                <w:tcPr>
                  <w:tcW w:w="1843" w:type="dxa"/>
                  <w:shd w:val="clear" w:color="000000" w:fill="FFFFFF"/>
                  <w:vAlign w:val="center"/>
                </w:tcPr>
                <w:p>
                  <w:pPr>
                    <w:jc w:val="center"/>
                    <w:rPr>
                      <w:rFonts w:ascii="仿宋" w:hAnsi="仿宋" w:eastAsia="仿宋" w:cs="宋体"/>
                      <w:b/>
                      <w:bCs/>
                      <w:sz w:val="24"/>
                      <w:szCs w:val="24"/>
                    </w:rPr>
                  </w:pPr>
                  <w:r>
                    <w:rPr>
                      <w:rFonts w:hint="eastAsia" w:ascii="仿宋" w:hAnsi="仿宋" w:eastAsia="仿宋" w:cs="宋体"/>
                      <w:b/>
                      <w:bCs/>
                      <w:sz w:val="24"/>
                      <w:szCs w:val="24"/>
                    </w:rPr>
                    <w:t>工作单元名称</w:t>
                  </w:r>
                </w:p>
              </w:tc>
              <w:tc>
                <w:tcPr>
                  <w:tcW w:w="4459" w:type="dxa"/>
                  <w:shd w:val="clear" w:color="000000" w:fill="FFFFFF"/>
                  <w:vAlign w:val="center"/>
                </w:tcPr>
                <w:p>
                  <w:pPr>
                    <w:jc w:val="center"/>
                    <w:rPr>
                      <w:rFonts w:ascii="仿宋" w:hAnsi="仿宋" w:eastAsia="仿宋" w:cs="宋体"/>
                      <w:b/>
                      <w:bCs/>
                      <w:sz w:val="24"/>
                      <w:szCs w:val="24"/>
                    </w:rPr>
                  </w:pPr>
                  <w:r>
                    <w:rPr>
                      <w:rFonts w:hint="eastAsia" w:ascii="仿宋" w:hAnsi="仿宋" w:eastAsia="仿宋" w:cs="宋体"/>
                      <w:b/>
                      <w:bCs/>
                      <w:sz w:val="24"/>
                      <w:szCs w:val="24"/>
                    </w:rPr>
                    <w:t>工作单元描述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5" w:type="dxa"/>
                  <w:vAlign w:val="center"/>
                </w:tcPr>
                <w:p>
                  <w:pPr>
                    <w:jc w:val="center"/>
                    <w:rPr>
                      <w:rFonts w:ascii="仿宋" w:hAnsi="仿宋" w:eastAsia="仿宋" w:cs="宋体"/>
                      <w:sz w:val="24"/>
                      <w:szCs w:val="24"/>
                    </w:rPr>
                  </w:pPr>
                  <w:r>
                    <w:rPr>
                      <w:rFonts w:ascii="仿宋" w:hAnsi="仿宋" w:eastAsia="仿宋" w:cs="宋体"/>
                      <w:sz w:val="24"/>
                      <w:szCs w:val="24"/>
                    </w:rPr>
                    <w:t>1</w:t>
                  </w:r>
                </w:p>
              </w:tc>
              <w:tc>
                <w:tcPr>
                  <w:tcW w:w="1843" w:type="dxa"/>
                  <w:vAlign w:val="center"/>
                </w:tcPr>
                <w:p>
                  <w:pPr>
                    <w:jc w:val="center"/>
                    <w:rPr>
                      <w:rFonts w:ascii="仿宋" w:hAnsi="仿宋" w:eastAsia="仿宋" w:cs="宋体"/>
                      <w:sz w:val="24"/>
                      <w:szCs w:val="24"/>
                    </w:rPr>
                  </w:pPr>
                  <w:r>
                    <w:rPr>
                      <w:rFonts w:hint="eastAsia" w:ascii="仿宋" w:hAnsi="仿宋" w:eastAsia="仿宋" w:cs="Arial"/>
                      <w:snapToGrid w:val="0"/>
                      <w:sz w:val="24"/>
                      <w:szCs w:val="24"/>
                      <w:lang w:eastAsia="zh-TW"/>
                    </w:rPr>
                    <w:t>系统管理</w:t>
                  </w:r>
                </w:p>
              </w:tc>
              <w:tc>
                <w:tcPr>
                  <w:tcW w:w="4459" w:type="dxa"/>
                  <w:vAlign w:val="center"/>
                </w:tcPr>
                <w:p>
                  <w:pPr>
                    <w:rPr>
                      <w:rFonts w:ascii="仿宋" w:hAnsi="仿宋" w:eastAsia="仿宋" w:cs="Arial"/>
                      <w:snapToGrid w:val="0"/>
                      <w:sz w:val="24"/>
                      <w:szCs w:val="24"/>
                    </w:rPr>
                  </w:pPr>
                  <w:r>
                    <w:rPr>
                      <w:rFonts w:hint="eastAsia" w:ascii="仿宋" w:hAnsi="仿宋" w:eastAsia="仿宋" w:cs="Arial"/>
                      <w:snapToGrid w:val="0"/>
                      <w:sz w:val="24"/>
                      <w:szCs w:val="24"/>
                    </w:rPr>
                    <w:t>检查是否对系统管理员进行统一的身份鉴别，操作审计等。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5" w:type="dxa"/>
                  <w:vAlign w:val="center"/>
                </w:tcPr>
                <w:p>
                  <w:pPr>
                    <w:jc w:val="center"/>
                    <w:rPr>
                      <w:rFonts w:ascii="仿宋" w:hAnsi="仿宋" w:eastAsia="仿宋" w:cs="宋体"/>
                      <w:sz w:val="24"/>
                      <w:szCs w:val="24"/>
                    </w:rPr>
                  </w:pPr>
                  <w:r>
                    <w:rPr>
                      <w:rFonts w:ascii="仿宋" w:hAnsi="仿宋" w:eastAsia="仿宋" w:cs="宋体"/>
                      <w:sz w:val="24"/>
                      <w:szCs w:val="24"/>
                    </w:rPr>
                    <w:t>2</w:t>
                  </w:r>
                </w:p>
              </w:tc>
              <w:tc>
                <w:tcPr>
                  <w:tcW w:w="1843" w:type="dxa"/>
                  <w:vAlign w:val="center"/>
                </w:tcPr>
                <w:p>
                  <w:pPr>
                    <w:jc w:val="center"/>
                    <w:rPr>
                      <w:rFonts w:ascii="仿宋" w:hAnsi="仿宋" w:eastAsia="仿宋" w:cs="宋体"/>
                      <w:sz w:val="24"/>
                      <w:szCs w:val="24"/>
                    </w:rPr>
                  </w:pPr>
                  <w:r>
                    <w:rPr>
                      <w:rFonts w:hint="eastAsia" w:ascii="仿宋" w:hAnsi="仿宋" w:eastAsia="仿宋" w:cs="Arial"/>
                      <w:snapToGrid w:val="0"/>
                      <w:sz w:val="24"/>
                      <w:szCs w:val="24"/>
                      <w:lang w:eastAsia="zh-TW"/>
                    </w:rPr>
                    <w:t>审计管理</w:t>
                  </w:r>
                </w:p>
              </w:tc>
              <w:tc>
                <w:tcPr>
                  <w:tcW w:w="4459" w:type="dxa"/>
                  <w:vAlign w:val="center"/>
                </w:tcPr>
                <w:p>
                  <w:pP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检查是否对审计管理员</w:t>
                  </w:r>
                  <w:r>
                    <w:rPr>
                      <w:rFonts w:hint="eastAsia" w:ascii="仿宋" w:hAnsi="仿宋" w:eastAsia="仿宋" w:cs="Arial"/>
                      <w:snapToGrid w:val="0"/>
                      <w:sz w:val="24"/>
                      <w:szCs w:val="24"/>
                    </w:rPr>
                    <w:t>进行统一的身份鉴别，操作审计等。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65" w:type="dxa"/>
                  <w:vAlign w:val="center"/>
                </w:tcPr>
                <w:p>
                  <w:pPr>
                    <w:jc w:val="center"/>
                    <w:rPr>
                      <w:rFonts w:ascii="仿宋" w:hAnsi="仿宋" w:eastAsia="仿宋" w:cs="宋体"/>
                      <w:sz w:val="24"/>
                      <w:szCs w:val="24"/>
                    </w:rPr>
                  </w:pPr>
                  <w:r>
                    <w:rPr>
                      <w:rFonts w:ascii="仿宋" w:hAnsi="仿宋" w:eastAsia="仿宋" w:cs="宋体"/>
                      <w:sz w:val="24"/>
                      <w:szCs w:val="24"/>
                    </w:rPr>
                    <w:t>3</w:t>
                  </w:r>
                </w:p>
              </w:tc>
              <w:tc>
                <w:tcPr>
                  <w:tcW w:w="1843" w:type="dxa"/>
                  <w:vAlign w:val="center"/>
                </w:tcPr>
                <w:p>
                  <w:pPr>
                    <w:jc w:val="center"/>
                    <w:rPr>
                      <w:rFonts w:ascii="仿宋" w:hAnsi="仿宋" w:eastAsia="仿宋" w:cs="宋体"/>
                      <w:sz w:val="24"/>
                      <w:szCs w:val="24"/>
                    </w:rPr>
                  </w:pPr>
                  <w:r>
                    <w:rPr>
                      <w:rFonts w:hint="eastAsia" w:ascii="仿宋" w:hAnsi="仿宋" w:eastAsia="仿宋" w:cs="Arial"/>
                      <w:snapToGrid w:val="0"/>
                      <w:sz w:val="24"/>
                      <w:szCs w:val="24"/>
                      <w:lang w:eastAsia="zh-TW"/>
                    </w:rPr>
                    <w:t>安全管理</w:t>
                  </w:r>
                </w:p>
              </w:tc>
              <w:tc>
                <w:tcPr>
                  <w:tcW w:w="4459" w:type="dxa"/>
                  <w:vAlign w:val="center"/>
                </w:tcPr>
                <w:p>
                  <w:pP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检查是否对安全管理员</w:t>
                  </w:r>
                  <w:r>
                    <w:rPr>
                      <w:rFonts w:hint="eastAsia" w:ascii="仿宋" w:hAnsi="仿宋" w:eastAsia="仿宋" w:cs="Arial"/>
                      <w:snapToGrid w:val="0"/>
                      <w:sz w:val="24"/>
                      <w:szCs w:val="24"/>
                    </w:rPr>
                    <w:t>进行统一的身份鉴别，操作审计等。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65" w:type="dxa"/>
                  <w:vAlign w:val="center"/>
                </w:tcPr>
                <w:p>
                  <w:pPr>
                    <w:jc w:val="center"/>
                    <w:rPr>
                      <w:rFonts w:ascii="仿宋" w:hAnsi="仿宋" w:eastAsia="仿宋" w:cs="宋体"/>
                      <w:sz w:val="24"/>
                      <w:szCs w:val="24"/>
                    </w:rPr>
                  </w:pPr>
                  <w:r>
                    <w:rPr>
                      <w:rFonts w:hint="eastAsia" w:ascii="仿宋" w:hAnsi="仿宋" w:eastAsia="仿宋" w:cs="宋体"/>
                      <w:sz w:val="24"/>
                      <w:szCs w:val="24"/>
                    </w:rPr>
                    <w:t>4</w:t>
                  </w:r>
                </w:p>
              </w:tc>
              <w:tc>
                <w:tcPr>
                  <w:tcW w:w="1843" w:type="dxa"/>
                  <w:vAlign w:val="center"/>
                </w:tcPr>
                <w:p>
                  <w:pPr>
                    <w:jc w:val="cente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集中管控</w:t>
                  </w:r>
                </w:p>
              </w:tc>
              <w:tc>
                <w:tcPr>
                  <w:tcW w:w="4459" w:type="dxa"/>
                  <w:vAlign w:val="center"/>
                </w:tcPr>
                <w:p>
                  <w:pP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检查是否划分独立的安全管理区域，是否对网络中运行的设备进行状态监测、日志审计、安全审计等，是否对补丁、恶意代代码进行统一管理。</w:t>
                  </w:r>
                </w:p>
              </w:tc>
            </w:tr>
          </w:tbl>
          <w:p>
            <w:pPr>
              <w:rPr>
                <w:rFonts w:ascii="仿宋" w:hAnsi="仿宋" w:eastAsia="仿宋" w:cs="宋体"/>
                <w:sz w:val="24"/>
                <w:szCs w:val="24"/>
              </w:rPr>
            </w:pP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（6）安全管理制度</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安全管理制度测评是为了了解评测安全管理制度的制定、发布、评审和修订等情况，主要涉及安全主管人员、安全管理人员、各类其它人员、各类管理制度、各类操作规程文件等对象。在内容上，安全管理制度测评实施过程涉及的工作单元，具体如下表：</w:t>
            </w:r>
          </w:p>
          <w:p>
            <w:pPr>
              <w:spacing w:before="236" w:beforeLines="50" w:after="236" w:afterLines="50" w:line="276" w:lineRule="auto"/>
              <w:ind w:firstLine="360" w:firstLineChars="150"/>
              <w:jc w:val="center"/>
              <w:rPr>
                <w:rFonts w:ascii="仿宋" w:hAnsi="仿宋" w:eastAsia="仿宋" w:cs="宋体"/>
                <w:sz w:val="24"/>
                <w:szCs w:val="24"/>
              </w:rPr>
            </w:pPr>
            <w:r>
              <w:rPr>
                <w:rFonts w:hint="eastAsia" w:ascii="仿宋" w:hAnsi="仿宋" w:eastAsia="仿宋" w:cs="宋体"/>
                <w:sz w:val="24"/>
                <w:szCs w:val="24"/>
              </w:rPr>
              <w:t>表</w:t>
            </w:r>
            <w:r>
              <w:rPr>
                <w:rFonts w:ascii="仿宋" w:hAnsi="仿宋" w:eastAsia="仿宋" w:cs="宋体"/>
                <w:sz w:val="24"/>
                <w:szCs w:val="24"/>
              </w:rPr>
              <w:t>6</w:t>
            </w:r>
            <w:r>
              <w:rPr>
                <w:rFonts w:hint="eastAsia" w:ascii="仿宋" w:hAnsi="仿宋" w:eastAsia="仿宋" w:cs="宋体"/>
                <w:sz w:val="24"/>
                <w:szCs w:val="24"/>
              </w:rPr>
              <w:t>安全管理制度测评内容</w:t>
            </w:r>
          </w:p>
          <w:tbl>
            <w:tblPr>
              <w:tblStyle w:val="20"/>
              <w:tblW w:w="7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843"/>
              <w:gridCol w:w="4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94" w:type="dxa"/>
                  <w:shd w:val="clear" w:color="000000" w:fill="FFFFFF"/>
                  <w:vAlign w:val="center"/>
                </w:tcPr>
                <w:p>
                  <w:pPr>
                    <w:rPr>
                      <w:rFonts w:ascii="仿宋" w:hAnsi="仿宋" w:eastAsia="仿宋" w:cs="宋体"/>
                      <w:b/>
                      <w:bCs/>
                      <w:sz w:val="24"/>
                      <w:szCs w:val="24"/>
                    </w:rPr>
                  </w:pPr>
                  <w:r>
                    <w:rPr>
                      <w:rFonts w:hint="eastAsia" w:ascii="仿宋" w:hAnsi="仿宋" w:eastAsia="仿宋" w:cs="宋体"/>
                      <w:b/>
                      <w:bCs/>
                      <w:sz w:val="24"/>
                      <w:szCs w:val="24"/>
                    </w:rPr>
                    <w:t>序号</w:t>
                  </w:r>
                </w:p>
              </w:tc>
              <w:tc>
                <w:tcPr>
                  <w:tcW w:w="1843" w:type="dxa"/>
                  <w:shd w:val="clear" w:color="000000" w:fill="FFFFFF"/>
                  <w:vAlign w:val="center"/>
                </w:tcPr>
                <w:p>
                  <w:pPr>
                    <w:jc w:val="center"/>
                    <w:rPr>
                      <w:rFonts w:ascii="仿宋" w:hAnsi="仿宋" w:eastAsia="仿宋" w:cs="宋体"/>
                      <w:b/>
                      <w:bCs/>
                      <w:sz w:val="24"/>
                      <w:szCs w:val="24"/>
                    </w:rPr>
                  </w:pPr>
                  <w:r>
                    <w:rPr>
                      <w:rFonts w:hint="eastAsia" w:ascii="仿宋" w:hAnsi="仿宋" w:eastAsia="仿宋" w:cs="宋体"/>
                      <w:b/>
                      <w:bCs/>
                      <w:sz w:val="24"/>
                      <w:szCs w:val="24"/>
                    </w:rPr>
                    <w:t>工作单元名称</w:t>
                  </w:r>
                </w:p>
              </w:tc>
              <w:tc>
                <w:tcPr>
                  <w:tcW w:w="4489" w:type="dxa"/>
                  <w:shd w:val="clear" w:color="000000" w:fill="FFFFFF"/>
                  <w:vAlign w:val="center"/>
                </w:tcPr>
                <w:p>
                  <w:pPr>
                    <w:jc w:val="center"/>
                    <w:rPr>
                      <w:rFonts w:ascii="仿宋" w:hAnsi="仿宋" w:eastAsia="仿宋" w:cs="宋体"/>
                      <w:b/>
                      <w:bCs/>
                      <w:sz w:val="24"/>
                      <w:szCs w:val="24"/>
                    </w:rPr>
                  </w:pPr>
                  <w:r>
                    <w:rPr>
                      <w:rFonts w:hint="eastAsia" w:ascii="仿宋" w:hAnsi="仿宋" w:eastAsia="仿宋" w:cs="宋体"/>
                      <w:b/>
                      <w:bCs/>
                      <w:sz w:val="24"/>
                      <w:szCs w:val="24"/>
                    </w:rPr>
                    <w:t>工作单元描述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94" w:type="dxa"/>
                  <w:vAlign w:val="center"/>
                </w:tcPr>
                <w:p>
                  <w:pPr>
                    <w:jc w:val="center"/>
                    <w:rPr>
                      <w:rFonts w:ascii="仿宋" w:hAnsi="仿宋" w:eastAsia="仿宋" w:cs="宋体"/>
                      <w:sz w:val="24"/>
                      <w:szCs w:val="24"/>
                    </w:rPr>
                  </w:pPr>
                  <w:r>
                    <w:rPr>
                      <w:rFonts w:ascii="仿宋" w:hAnsi="仿宋" w:eastAsia="仿宋" w:cs="宋体"/>
                      <w:sz w:val="24"/>
                      <w:szCs w:val="24"/>
                    </w:rPr>
                    <w:t>1</w:t>
                  </w:r>
                </w:p>
              </w:tc>
              <w:tc>
                <w:tcPr>
                  <w:tcW w:w="1843" w:type="dxa"/>
                  <w:vAlign w:val="center"/>
                </w:tcPr>
                <w:p>
                  <w:pPr>
                    <w:jc w:val="center"/>
                    <w:rPr>
                      <w:rFonts w:ascii="仿宋" w:hAnsi="仿宋" w:eastAsia="仿宋" w:cs="宋体"/>
                      <w:sz w:val="24"/>
                      <w:szCs w:val="24"/>
                    </w:rPr>
                  </w:pPr>
                  <w:r>
                    <w:rPr>
                      <w:rFonts w:hint="eastAsia" w:ascii="仿宋" w:hAnsi="仿宋" w:eastAsia="仿宋" w:cs="Arial"/>
                      <w:snapToGrid w:val="0"/>
                      <w:sz w:val="24"/>
                      <w:szCs w:val="24"/>
                      <w:lang w:eastAsia="zh-TW"/>
                    </w:rPr>
                    <w:t>安全策略</w:t>
                  </w:r>
                </w:p>
              </w:tc>
              <w:tc>
                <w:tcPr>
                  <w:tcW w:w="4489" w:type="dxa"/>
                  <w:vAlign w:val="center"/>
                </w:tcPr>
                <w:p>
                  <w:pPr>
                    <w:rPr>
                      <w:rFonts w:ascii="仿宋" w:hAnsi="仿宋" w:eastAsia="仿宋" w:cs="宋体"/>
                      <w:sz w:val="24"/>
                      <w:szCs w:val="24"/>
                    </w:rPr>
                  </w:pPr>
                  <w:r>
                    <w:rPr>
                      <w:rFonts w:hint="eastAsia" w:ascii="仿宋" w:hAnsi="仿宋" w:eastAsia="仿宋" w:cs="宋体"/>
                      <w:sz w:val="24"/>
                      <w:szCs w:val="24"/>
                    </w:rPr>
                    <w:t>核查网络安全工作的总体方针和安全策略文件是否明确机构安全工作的总体目</w:t>
                  </w:r>
                  <w:r>
                    <w:rPr>
                      <w:rFonts w:ascii="仿宋" w:hAnsi="仿宋" w:eastAsia="仿宋" w:cs="宋体"/>
                      <w:sz w:val="24"/>
                      <w:szCs w:val="24"/>
                    </w:rPr>
                    <w:t xml:space="preserve"> 标、范围、原则和各类安全策略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94" w:type="dxa"/>
                  <w:vAlign w:val="center"/>
                </w:tcPr>
                <w:p>
                  <w:pPr>
                    <w:jc w:val="center"/>
                    <w:rPr>
                      <w:rFonts w:ascii="仿宋" w:hAnsi="仿宋" w:eastAsia="仿宋" w:cs="宋体"/>
                      <w:sz w:val="24"/>
                      <w:szCs w:val="24"/>
                    </w:rPr>
                  </w:pPr>
                  <w:r>
                    <w:rPr>
                      <w:rFonts w:ascii="仿宋" w:hAnsi="仿宋" w:eastAsia="仿宋" w:cs="宋体"/>
                      <w:sz w:val="24"/>
                      <w:szCs w:val="24"/>
                    </w:rPr>
                    <w:t>2</w:t>
                  </w:r>
                </w:p>
              </w:tc>
              <w:tc>
                <w:tcPr>
                  <w:tcW w:w="1843" w:type="dxa"/>
                  <w:vAlign w:val="center"/>
                </w:tcPr>
                <w:p>
                  <w:pPr>
                    <w:jc w:val="center"/>
                    <w:rPr>
                      <w:rFonts w:ascii="仿宋" w:hAnsi="仿宋" w:eastAsia="仿宋" w:cs="宋体"/>
                      <w:sz w:val="24"/>
                      <w:szCs w:val="24"/>
                    </w:rPr>
                  </w:pPr>
                  <w:r>
                    <w:rPr>
                      <w:rFonts w:hint="eastAsia" w:ascii="仿宋" w:hAnsi="仿宋" w:eastAsia="仿宋" w:cs="Arial"/>
                      <w:snapToGrid w:val="0"/>
                      <w:sz w:val="24"/>
                      <w:szCs w:val="24"/>
                      <w:lang w:eastAsia="zh-TW"/>
                    </w:rPr>
                    <w:t>管理制度</w:t>
                  </w:r>
                </w:p>
              </w:tc>
              <w:tc>
                <w:tcPr>
                  <w:tcW w:w="4489" w:type="dxa"/>
                  <w:vAlign w:val="center"/>
                </w:tcPr>
                <w:p>
                  <w:pPr>
                    <w:rPr>
                      <w:rFonts w:ascii="仿宋" w:hAnsi="仿宋" w:eastAsia="仿宋" w:cs="Arial"/>
                      <w:snapToGrid w:val="0"/>
                      <w:sz w:val="24"/>
                      <w:szCs w:val="24"/>
                      <w:lang w:eastAsia="zh-TW"/>
                    </w:rPr>
                  </w:pPr>
                  <w:r>
                    <w:rPr>
                      <w:rFonts w:hint="eastAsia" w:ascii="仿宋" w:hAnsi="仿宋" w:eastAsia="仿宋" w:cs="宋体"/>
                      <w:sz w:val="24"/>
                      <w:szCs w:val="24"/>
                    </w:rPr>
                    <w:t>检查有关管理制度文档和重要操作规程等过程，测评信息系统管理制度在内容覆盖上是否全面、完善。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94" w:type="dxa"/>
                  <w:vAlign w:val="center"/>
                </w:tcPr>
                <w:p>
                  <w:pPr>
                    <w:jc w:val="center"/>
                    <w:rPr>
                      <w:rFonts w:ascii="仿宋" w:hAnsi="仿宋" w:eastAsia="仿宋" w:cs="宋体"/>
                      <w:sz w:val="24"/>
                      <w:szCs w:val="24"/>
                    </w:rPr>
                  </w:pPr>
                  <w:r>
                    <w:rPr>
                      <w:rFonts w:ascii="仿宋" w:hAnsi="仿宋" w:eastAsia="仿宋" w:cs="宋体"/>
                      <w:sz w:val="24"/>
                      <w:szCs w:val="24"/>
                    </w:rPr>
                    <w:t>3</w:t>
                  </w:r>
                </w:p>
              </w:tc>
              <w:tc>
                <w:tcPr>
                  <w:tcW w:w="1843" w:type="dxa"/>
                  <w:vAlign w:val="center"/>
                </w:tcPr>
                <w:p>
                  <w:pPr>
                    <w:jc w:val="center"/>
                    <w:rPr>
                      <w:rFonts w:ascii="仿宋" w:hAnsi="仿宋" w:eastAsia="仿宋" w:cs="宋体"/>
                      <w:sz w:val="24"/>
                      <w:szCs w:val="24"/>
                    </w:rPr>
                  </w:pPr>
                  <w:r>
                    <w:rPr>
                      <w:rFonts w:hint="eastAsia" w:ascii="仿宋" w:hAnsi="仿宋" w:eastAsia="仿宋" w:cs="Arial"/>
                      <w:snapToGrid w:val="0"/>
                      <w:sz w:val="24"/>
                      <w:szCs w:val="24"/>
                      <w:lang w:eastAsia="zh-TW"/>
                    </w:rPr>
                    <w:t>制定和发布</w:t>
                  </w:r>
                </w:p>
              </w:tc>
              <w:tc>
                <w:tcPr>
                  <w:tcW w:w="4489" w:type="dxa"/>
                  <w:vAlign w:val="center"/>
                </w:tcPr>
                <w:p>
                  <w:pPr>
                    <w:rPr>
                      <w:rFonts w:ascii="仿宋" w:hAnsi="仿宋" w:eastAsia="仿宋" w:cs="Arial"/>
                      <w:snapToGrid w:val="0"/>
                      <w:sz w:val="24"/>
                      <w:szCs w:val="24"/>
                      <w:lang w:eastAsia="zh-TW"/>
                    </w:rPr>
                  </w:pPr>
                  <w:r>
                    <w:rPr>
                      <w:rFonts w:hint="eastAsia" w:ascii="仿宋" w:hAnsi="仿宋" w:eastAsia="仿宋" w:cs="宋体"/>
                      <w:sz w:val="24"/>
                      <w:szCs w:val="24"/>
                    </w:rPr>
                    <w:t>检查有关制度制定要求文档等过程，测评信息系统管理制度的制定和发布过程是否遵循一定的流程。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94" w:type="dxa"/>
                  <w:vAlign w:val="center"/>
                </w:tcPr>
                <w:p>
                  <w:pPr>
                    <w:jc w:val="center"/>
                    <w:rPr>
                      <w:rFonts w:ascii="仿宋" w:hAnsi="仿宋" w:eastAsia="仿宋" w:cs="宋体"/>
                      <w:sz w:val="24"/>
                      <w:szCs w:val="24"/>
                    </w:rPr>
                  </w:pPr>
                  <w:r>
                    <w:rPr>
                      <w:rFonts w:hint="eastAsia" w:ascii="仿宋" w:hAnsi="仿宋" w:eastAsia="仿宋" w:cs="宋体"/>
                      <w:sz w:val="24"/>
                      <w:szCs w:val="24"/>
                    </w:rPr>
                    <w:t>4</w:t>
                  </w:r>
                </w:p>
              </w:tc>
              <w:tc>
                <w:tcPr>
                  <w:tcW w:w="1843" w:type="dxa"/>
                  <w:vAlign w:val="center"/>
                </w:tcPr>
                <w:p>
                  <w:pPr>
                    <w:jc w:val="cente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评审和修订</w:t>
                  </w:r>
                </w:p>
              </w:tc>
              <w:tc>
                <w:tcPr>
                  <w:tcW w:w="4489" w:type="dxa"/>
                  <w:vAlign w:val="center"/>
                </w:tcPr>
                <w:p>
                  <w:pPr>
                    <w:rPr>
                      <w:rFonts w:ascii="仿宋" w:hAnsi="仿宋" w:eastAsia="仿宋" w:cs="Arial"/>
                      <w:snapToGrid w:val="0"/>
                      <w:sz w:val="24"/>
                      <w:szCs w:val="24"/>
                      <w:lang w:eastAsia="zh-TW"/>
                    </w:rPr>
                  </w:pPr>
                  <w:r>
                    <w:rPr>
                      <w:rFonts w:hint="eastAsia" w:ascii="仿宋" w:hAnsi="仿宋" w:eastAsia="仿宋" w:cs="宋体"/>
                      <w:sz w:val="24"/>
                      <w:szCs w:val="24"/>
                    </w:rPr>
                    <w:t>检查管理制度评审记录等过程，测评信息系统管理制度定期评审和修订情况。</w:t>
                  </w:r>
                </w:p>
              </w:tc>
            </w:tr>
          </w:tbl>
          <w:p>
            <w:pPr>
              <w:rPr>
                <w:rFonts w:ascii="仿宋" w:hAnsi="仿宋" w:eastAsia="仿宋" w:cs="宋体"/>
                <w:sz w:val="24"/>
                <w:szCs w:val="24"/>
              </w:rPr>
            </w:pP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（7）安全管理机构</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安全管理机构测评是为了了解评测安全管理机构的组成情况和机构工作组织情况，主要涉及安全主管人员、安全管理人员、相关的文件资料和工作记录等对象。在内容上，安全管理机构测评实施过程涉及的工作单元，具体如下表：</w:t>
            </w:r>
          </w:p>
          <w:p>
            <w:pPr>
              <w:spacing w:before="236" w:beforeLines="50" w:after="236" w:afterLines="50" w:line="276" w:lineRule="auto"/>
              <w:ind w:firstLine="360" w:firstLineChars="150"/>
              <w:jc w:val="center"/>
              <w:rPr>
                <w:rFonts w:ascii="仿宋" w:hAnsi="仿宋" w:eastAsia="仿宋" w:cs="宋体"/>
                <w:sz w:val="24"/>
                <w:szCs w:val="24"/>
              </w:rPr>
            </w:pPr>
            <w:r>
              <w:rPr>
                <w:rFonts w:hint="eastAsia" w:ascii="仿宋" w:hAnsi="仿宋" w:eastAsia="仿宋" w:cs="宋体"/>
                <w:sz w:val="24"/>
                <w:szCs w:val="24"/>
              </w:rPr>
              <w:t>表</w:t>
            </w:r>
            <w:r>
              <w:rPr>
                <w:rFonts w:ascii="仿宋" w:hAnsi="仿宋" w:eastAsia="仿宋" w:cs="宋体"/>
                <w:sz w:val="24"/>
                <w:szCs w:val="24"/>
              </w:rPr>
              <w:t>7</w:t>
            </w:r>
            <w:r>
              <w:rPr>
                <w:rFonts w:hint="eastAsia" w:ascii="仿宋" w:hAnsi="仿宋" w:eastAsia="仿宋" w:cs="宋体"/>
                <w:sz w:val="24"/>
                <w:szCs w:val="24"/>
              </w:rPr>
              <w:t>安全管理机构测评内容</w:t>
            </w:r>
          </w:p>
          <w:tbl>
            <w:tblPr>
              <w:tblStyle w:val="20"/>
              <w:tblW w:w="7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843"/>
              <w:gridCol w:w="4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18" w:type="dxa"/>
                  <w:shd w:val="clear" w:color="000000" w:fill="FFFFFF"/>
                  <w:vAlign w:val="center"/>
                </w:tcPr>
                <w:p>
                  <w:pPr>
                    <w:rPr>
                      <w:rFonts w:ascii="仿宋" w:hAnsi="仿宋" w:eastAsia="仿宋" w:cs="宋体"/>
                      <w:b/>
                      <w:bCs/>
                      <w:sz w:val="24"/>
                      <w:szCs w:val="24"/>
                    </w:rPr>
                  </w:pPr>
                  <w:r>
                    <w:rPr>
                      <w:rFonts w:hint="eastAsia" w:ascii="仿宋" w:hAnsi="仿宋" w:eastAsia="仿宋" w:cs="宋体"/>
                      <w:b/>
                      <w:bCs/>
                      <w:sz w:val="24"/>
                      <w:szCs w:val="24"/>
                    </w:rPr>
                    <w:t>序号</w:t>
                  </w:r>
                </w:p>
              </w:tc>
              <w:tc>
                <w:tcPr>
                  <w:tcW w:w="1843" w:type="dxa"/>
                  <w:shd w:val="clear" w:color="000000" w:fill="FFFFFF"/>
                  <w:vAlign w:val="center"/>
                </w:tcPr>
                <w:p>
                  <w:pPr>
                    <w:jc w:val="center"/>
                    <w:rPr>
                      <w:rFonts w:ascii="仿宋" w:hAnsi="仿宋" w:eastAsia="仿宋" w:cs="宋体"/>
                      <w:b/>
                      <w:bCs/>
                      <w:sz w:val="24"/>
                      <w:szCs w:val="24"/>
                    </w:rPr>
                  </w:pPr>
                  <w:r>
                    <w:rPr>
                      <w:rFonts w:hint="eastAsia" w:ascii="仿宋" w:hAnsi="仿宋" w:eastAsia="仿宋" w:cs="宋体"/>
                      <w:b/>
                      <w:bCs/>
                      <w:sz w:val="24"/>
                      <w:szCs w:val="24"/>
                    </w:rPr>
                    <w:t>工作单元名称</w:t>
                  </w:r>
                </w:p>
              </w:tc>
              <w:tc>
                <w:tcPr>
                  <w:tcW w:w="4513" w:type="dxa"/>
                  <w:shd w:val="clear" w:color="000000" w:fill="FFFFFF"/>
                  <w:vAlign w:val="center"/>
                </w:tcPr>
                <w:p>
                  <w:pPr>
                    <w:jc w:val="center"/>
                    <w:rPr>
                      <w:rFonts w:ascii="仿宋" w:hAnsi="仿宋" w:eastAsia="仿宋" w:cs="宋体"/>
                      <w:b/>
                      <w:bCs/>
                      <w:sz w:val="24"/>
                      <w:szCs w:val="24"/>
                    </w:rPr>
                  </w:pPr>
                  <w:r>
                    <w:rPr>
                      <w:rFonts w:hint="eastAsia" w:ascii="仿宋" w:hAnsi="仿宋" w:eastAsia="仿宋" w:cs="宋体"/>
                      <w:b/>
                      <w:bCs/>
                      <w:sz w:val="24"/>
                      <w:szCs w:val="24"/>
                    </w:rPr>
                    <w:t>工作单元描述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18" w:type="dxa"/>
                  <w:vAlign w:val="center"/>
                </w:tcPr>
                <w:p>
                  <w:pPr>
                    <w:jc w:val="center"/>
                    <w:rPr>
                      <w:rFonts w:ascii="仿宋" w:hAnsi="仿宋" w:eastAsia="仿宋" w:cs="宋体"/>
                      <w:sz w:val="24"/>
                      <w:szCs w:val="24"/>
                    </w:rPr>
                  </w:pPr>
                  <w:r>
                    <w:rPr>
                      <w:rFonts w:ascii="仿宋" w:hAnsi="仿宋" w:eastAsia="仿宋" w:cs="宋体"/>
                      <w:sz w:val="24"/>
                      <w:szCs w:val="24"/>
                    </w:rPr>
                    <w:t>1</w:t>
                  </w:r>
                </w:p>
              </w:tc>
              <w:tc>
                <w:tcPr>
                  <w:tcW w:w="1843" w:type="dxa"/>
                  <w:vAlign w:val="center"/>
                </w:tcPr>
                <w:p>
                  <w:pPr>
                    <w:jc w:val="center"/>
                    <w:rPr>
                      <w:rFonts w:ascii="仿宋" w:hAnsi="仿宋" w:eastAsia="仿宋" w:cs="宋体"/>
                      <w:sz w:val="24"/>
                      <w:szCs w:val="24"/>
                    </w:rPr>
                  </w:pPr>
                  <w:r>
                    <w:rPr>
                      <w:rFonts w:hint="eastAsia" w:ascii="仿宋" w:hAnsi="仿宋" w:eastAsia="仿宋" w:cs="Arial"/>
                      <w:snapToGrid w:val="0"/>
                      <w:sz w:val="24"/>
                      <w:szCs w:val="24"/>
                      <w:lang w:eastAsia="zh-TW"/>
                    </w:rPr>
                    <w:t>岗位设置</w:t>
                  </w:r>
                </w:p>
              </w:tc>
              <w:tc>
                <w:tcPr>
                  <w:tcW w:w="4513" w:type="dxa"/>
                  <w:vAlign w:val="center"/>
                </w:tcPr>
                <w:p>
                  <w:pPr>
                    <w:rPr>
                      <w:rFonts w:ascii="仿宋" w:hAnsi="仿宋" w:eastAsia="仿宋" w:cs="Arial"/>
                      <w:snapToGrid w:val="0"/>
                      <w:sz w:val="24"/>
                      <w:szCs w:val="24"/>
                    </w:rPr>
                  </w:pPr>
                  <w:r>
                    <w:rPr>
                      <w:rFonts w:hint="eastAsia" w:ascii="仿宋" w:hAnsi="仿宋" w:eastAsia="仿宋" w:cs="宋体"/>
                      <w:sz w:val="24"/>
                      <w:szCs w:val="24"/>
                    </w:rPr>
                    <w:t>检查部门</w:t>
                  </w:r>
                  <w:r>
                    <w:rPr>
                      <w:rFonts w:ascii="仿宋" w:hAnsi="仿宋" w:eastAsia="仿宋" w:cs="宋体"/>
                      <w:sz w:val="24"/>
                      <w:szCs w:val="24"/>
                    </w:rPr>
                    <w:t>/</w:t>
                  </w:r>
                  <w:r>
                    <w:rPr>
                      <w:rFonts w:hint="eastAsia" w:ascii="仿宋" w:hAnsi="仿宋" w:eastAsia="仿宋" w:cs="宋体"/>
                      <w:sz w:val="24"/>
                      <w:szCs w:val="24"/>
                    </w:rPr>
                    <w:t>岗位职责文件，测评信息系统安全主管部门设置情况以及各岗位设置和岗位职责情况。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18" w:type="dxa"/>
                  <w:vAlign w:val="center"/>
                </w:tcPr>
                <w:p>
                  <w:pPr>
                    <w:jc w:val="center"/>
                    <w:rPr>
                      <w:rFonts w:ascii="仿宋" w:hAnsi="仿宋" w:eastAsia="仿宋" w:cs="宋体"/>
                      <w:sz w:val="24"/>
                      <w:szCs w:val="24"/>
                    </w:rPr>
                  </w:pPr>
                  <w:r>
                    <w:rPr>
                      <w:rFonts w:ascii="仿宋" w:hAnsi="仿宋" w:eastAsia="仿宋" w:cs="宋体"/>
                      <w:sz w:val="24"/>
                      <w:szCs w:val="24"/>
                    </w:rPr>
                    <w:t>2</w:t>
                  </w:r>
                </w:p>
              </w:tc>
              <w:tc>
                <w:tcPr>
                  <w:tcW w:w="1843" w:type="dxa"/>
                  <w:vAlign w:val="center"/>
                </w:tcPr>
                <w:p>
                  <w:pPr>
                    <w:jc w:val="center"/>
                    <w:rPr>
                      <w:rFonts w:ascii="仿宋" w:hAnsi="仿宋" w:eastAsia="仿宋" w:cs="宋体"/>
                      <w:sz w:val="24"/>
                      <w:szCs w:val="24"/>
                    </w:rPr>
                  </w:pPr>
                  <w:r>
                    <w:rPr>
                      <w:rFonts w:hint="eastAsia" w:ascii="仿宋" w:hAnsi="仿宋" w:eastAsia="仿宋" w:cs="Arial"/>
                      <w:snapToGrid w:val="0"/>
                      <w:sz w:val="24"/>
                      <w:szCs w:val="24"/>
                      <w:lang w:eastAsia="zh-TW"/>
                    </w:rPr>
                    <w:t>人员配备</w:t>
                  </w:r>
                </w:p>
              </w:tc>
              <w:tc>
                <w:tcPr>
                  <w:tcW w:w="4513" w:type="dxa"/>
                  <w:vAlign w:val="center"/>
                </w:tcPr>
                <w:p>
                  <w:pPr>
                    <w:rPr>
                      <w:rFonts w:ascii="仿宋" w:hAnsi="仿宋" w:eastAsia="仿宋" w:cs="Arial"/>
                      <w:snapToGrid w:val="0"/>
                      <w:sz w:val="24"/>
                      <w:szCs w:val="24"/>
                      <w:lang w:eastAsia="zh-TW"/>
                    </w:rPr>
                  </w:pPr>
                  <w:r>
                    <w:rPr>
                      <w:rFonts w:hint="eastAsia" w:ascii="仿宋" w:hAnsi="仿宋" w:eastAsia="仿宋" w:cs="宋体"/>
                      <w:sz w:val="24"/>
                      <w:szCs w:val="24"/>
                    </w:rPr>
                    <w:t>检查人员名单等文档，测评信息系统各个岗位人员配备情况。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18" w:type="dxa"/>
                  <w:vAlign w:val="center"/>
                </w:tcPr>
                <w:p>
                  <w:pPr>
                    <w:jc w:val="center"/>
                    <w:rPr>
                      <w:rFonts w:ascii="仿宋" w:hAnsi="仿宋" w:eastAsia="仿宋" w:cs="宋体"/>
                      <w:sz w:val="24"/>
                      <w:szCs w:val="24"/>
                    </w:rPr>
                  </w:pPr>
                  <w:r>
                    <w:rPr>
                      <w:rFonts w:ascii="仿宋" w:hAnsi="仿宋" w:eastAsia="仿宋" w:cs="宋体"/>
                      <w:sz w:val="24"/>
                      <w:szCs w:val="24"/>
                    </w:rPr>
                    <w:t>3</w:t>
                  </w:r>
                </w:p>
              </w:tc>
              <w:tc>
                <w:tcPr>
                  <w:tcW w:w="1843" w:type="dxa"/>
                  <w:vAlign w:val="center"/>
                </w:tcPr>
                <w:p>
                  <w:pPr>
                    <w:jc w:val="center"/>
                    <w:rPr>
                      <w:rFonts w:ascii="仿宋" w:hAnsi="仿宋" w:eastAsia="仿宋" w:cs="宋体"/>
                      <w:sz w:val="24"/>
                      <w:szCs w:val="24"/>
                    </w:rPr>
                  </w:pPr>
                  <w:r>
                    <w:rPr>
                      <w:rFonts w:hint="eastAsia" w:ascii="仿宋" w:hAnsi="仿宋" w:eastAsia="仿宋" w:cs="Arial"/>
                      <w:snapToGrid w:val="0"/>
                      <w:sz w:val="24"/>
                      <w:szCs w:val="24"/>
                      <w:lang w:eastAsia="zh-TW"/>
                    </w:rPr>
                    <w:t>授权和审批</w:t>
                  </w:r>
                </w:p>
              </w:tc>
              <w:tc>
                <w:tcPr>
                  <w:tcW w:w="4513" w:type="dxa"/>
                  <w:vAlign w:val="center"/>
                </w:tcPr>
                <w:p>
                  <w:pPr>
                    <w:rPr>
                      <w:rFonts w:ascii="仿宋" w:hAnsi="仿宋" w:eastAsia="仿宋" w:cs="Arial"/>
                      <w:snapToGrid w:val="0"/>
                      <w:sz w:val="24"/>
                      <w:szCs w:val="24"/>
                      <w:lang w:eastAsia="zh-TW"/>
                    </w:rPr>
                  </w:pPr>
                  <w:r>
                    <w:rPr>
                      <w:rFonts w:hint="eastAsia" w:ascii="仿宋" w:hAnsi="仿宋" w:eastAsia="仿宋" w:cs="宋体"/>
                      <w:sz w:val="24"/>
                      <w:szCs w:val="24"/>
                    </w:rPr>
                    <w:t>检查相关文档，测评信息系统对关键活动的授权和审批情况。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18" w:type="dxa"/>
                  <w:vAlign w:val="center"/>
                </w:tcPr>
                <w:p>
                  <w:pPr>
                    <w:jc w:val="center"/>
                    <w:rPr>
                      <w:rFonts w:ascii="仿宋" w:hAnsi="仿宋" w:eastAsia="仿宋" w:cs="宋体"/>
                      <w:sz w:val="24"/>
                      <w:szCs w:val="24"/>
                    </w:rPr>
                  </w:pPr>
                  <w:r>
                    <w:rPr>
                      <w:rFonts w:hint="eastAsia" w:ascii="仿宋" w:hAnsi="仿宋" w:eastAsia="仿宋" w:cs="宋体"/>
                      <w:sz w:val="24"/>
                      <w:szCs w:val="24"/>
                    </w:rPr>
                    <w:t>4</w:t>
                  </w:r>
                </w:p>
              </w:tc>
              <w:tc>
                <w:tcPr>
                  <w:tcW w:w="1843" w:type="dxa"/>
                  <w:vAlign w:val="center"/>
                </w:tcPr>
                <w:p>
                  <w:pPr>
                    <w:jc w:val="cente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沟通和合作</w:t>
                  </w:r>
                </w:p>
              </w:tc>
              <w:tc>
                <w:tcPr>
                  <w:tcW w:w="4513" w:type="dxa"/>
                  <w:vAlign w:val="center"/>
                </w:tcPr>
                <w:p>
                  <w:pPr>
                    <w:rPr>
                      <w:rFonts w:ascii="仿宋" w:hAnsi="仿宋" w:eastAsia="仿宋" w:cs="Arial"/>
                      <w:snapToGrid w:val="0"/>
                      <w:sz w:val="24"/>
                      <w:szCs w:val="24"/>
                      <w:lang w:eastAsia="zh-TW"/>
                    </w:rPr>
                  </w:pPr>
                  <w:r>
                    <w:rPr>
                      <w:rFonts w:hint="eastAsia" w:ascii="仿宋" w:hAnsi="仿宋" w:eastAsia="仿宋" w:cs="宋体"/>
                      <w:sz w:val="24"/>
                      <w:szCs w:val="24"/>
                    </w:rPr>
                    <w:t>检查相关文档，测评信息系统内部部门间、与外部单位间的沟通与合作情况。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18" w:type="dxa"/>
                  <w:vAlign w:val="center"/>
                </w:tcPr>
                <w:p>
                  <w:pPr>
                    <w:jc w:val="center"/>
                    <w:rPr>
                      <w:rFonts w:ascii="仿宋" w:hAnsi="仿宋" w:eastAsia="仿宋" w:cs="宋体"/>
                      <w:sz w:val="24"/>
                      <w:szCs w:val="24"/>
                    </w:rPr>
                  </w:pPr>
                  <w:r>
                    <w:rPr>
                      <w:rFonts w:hint="eastAsia" w:ascii="仿宋" w:hAnsi="仿宋" w:eastAsia="仿宋" w:cs="宋体"/>
                      <w:sz w:val="24"/>
                      <w:szCs w:val="24"/>
                    </w:rPr>
                    <w:t>5</w:t>
                  </w:r>
                </w:p>
              </w:tc>
              <w:tc>
                <w:tcPr>
                  <w:tcW w:w="1843" w:type="dxa"/>
                  <w:vAlign w:val="center"/>
                </w:tcPr>
                <w:p>
                  <w:pPr>
                    <w:jc w:val="cente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审核和检查</w:t>
                  </w:r>
                </w:p>
              </w:tc>
              <w:tc>
                <w:tcPr>
                  <w:tcW w:w="4513" w:type="dxa"/>
                  <w:vAlign w:val="center"/>
                </w:tcPr>
                <w:p>
                  <w:pPr>
                    <w:rPr>
                      <w:rFonts w:ascii="仿宋" w:hAnsi="仿宋" w:eastAsia="仿宋" w:cs="Arial"/>
                      <w:snapToGrid w:val="0"/>
                      <w:sz w:val="24"/>
                      <w:szCs w:val="24"/>
                      <w:lang w:eastAsia="zh-TW"/>
                    </w:rPr>
                  </w:pPr>
                  <w:r>
                    <w:rPr>
                      <w:rFonts w:hint="eastAsia" w:ascii="仿宋" w:hAnsi="仿宋" w:eastAsia="仿宋" w:cs="宋体"/>
                      <w:sz w:val="24"/>
                      <w:szCs w:val="24"/>
                    </w:rPr>
                    <w:t>检查记录文档等过程，测评信息系统安全工作的审核和检查情况。</w:t>
                  </w:r>
                </w:p>
              </w:tc>
            </w:tr>
          </w:tbl>
          <w:p>
            <w:pPr>
              <w:rPr>
                <w:rFonts w:ascii="仿宋" w:hAnsi="仿宋" w:eastAsia="仿宋" w:cs="宋体"/>
                <w:sz w:val="24"/>
                <w:szCs w:val="24"/>
              </w:rPr>
            </w:pP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（8）安全管理人员</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安全管理人员测评是为了了解单位人员安全方面的情况，主要涉及安全主管人员、人事管理人员、相关管理制度、相关工作记录等对象。在内容上，安全管理人员测评实施过程涉及的工作单元，具体如下表：</w:t>
            </w:r>
          </w:p>
          <w:p>
            <w:pPr>
              <w:spacing w:before="236" w:beforeLines="50" w:after="236" w:afterLines="50" w:line="276" w:lineRule="auto"/>
              <w:ind w:firstLine="360" w:firstLineChars="150"/>
              <w:jc w:val="center"/>
              <w:rPr>
                <w:rFonts w:ascii="仿宋" w:hAnsi="仿宋" w:eastAsia="仿宋" w:cs="宋体"/>
                <w:sz w:val="24"/>
                <w:szCs w:val="24"/>
              </w:rPr>
            </w:pPr>
            <w:r>
              <w:rPr>
                <w:rFonts w:hint="eastAsia" w:ascii="仿宋" w:hAnsi="仿宋" w:eastAsia="仿宋" w:cs="宋体"/>
                <w:sz w:val="24"/>
                <w:szCs w:val="24"/>
              </w:rPr>
              <w:t>表</w:t>
            </w:r>
            <w:r>
              <w:rPr>
                <w:rFonts w:ascii="仿宋" w:hAnsi="仿宋" w:eastAsia="仿宋" w:cs="宋体"/>
                <w:sz w:val="24"/>
                <w:szCs w:val="24"/>
              </w:rPr>
              <w:t>8</w:t>
            </w:r>
            <w:r>
              <w:rPr>
                <w:rFonts w:hint="eastAsia" w:ascii="仿宋" w:hAnsi="仿宋" w:eastAsia="仿宋" w:cs="宋体"/>
                <w:sz w:val="24"/>
                <w:szCs w:val="24"/>
              </w:rPr>
              <w:t>安全管理人员测评内容</w:t>
            </w:r>
          </w:p>
          <w:tbl>
            <w:tblPr>
              <w:tblStyle w:val="20"/>
              <w:tblW w:w="7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843"/>
              <w:gridCol w:w="4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18" w:type="dxa"/>
                  <w:shd w:val="clear" w:color="000000" w:fill="FFFFFF"/>
                  <w:vAlign w:val="center"/>
                </w:tcPr>
                <w:p>
                  <w:pPr>
                    <w:rPr>
                      <w:rFonts w:ascii="仿宋" w:hAnsi="仿宋" w:eastAsia="仿宋" w:cs="宋体"/>
                      <w:b/>
                      <w:bCs/>
                      <w:sz w:val="24"/>
                      <w:szCs w:val="24"/>
                    </w:rPr>
                  </w:pPr>
                  <w:r>
                    <w:rPr>
                      <w:rFonts w:hint="eastAsia" w:ascii="仿宋" w:hAnsi="仿宋" w:eastAsia="仿宋" w:cs="宋体"/>
                      <w:b/>
                      <w:bCs/>
                      <w:sz w:val="24"/>
                      <w:szCs w:val="24"/>
                    </w:rPr>
                    <w:t>序号</w:t>
                  </w:r>
                </w:p>
              </w:tc>
              <w:tc>
                <w:tcPr>
                  <w:tcW w:w="1843" w:type="dxa"/>
                  <w:shd w:val="clear" w:color="000000" w:fill="FFFFFF"/>
                  <w:vAlign w:val="center"/>
                </w:tcPr>
                <w:p>
                  <w:pPr>
                    <w:jc w:val="center"/>
                    <w:rPr>
                      <w:rFonts w:ascii="仿宋" w:hAnsi="仿宋" w:eastAsia="仿宋" w:cs="宋体"/>
                      <w:b/>
                      <w:bCs/>
                      <w:sz w:val="24"/>
                      <w:szCs w:val="24"/>
                    </w:rPr>
                  </w:pPr>
                  <w:r>
                    <w:rPr>
                      <w:rFonts w:hint="eastAsia" w:ascii="仿宋" w:hAnsi="仿宋" w:eastAsia="仿宋" w:cs="宋体"/>
                      <w:b/>
                      <w:bCs/>
                      <w:sz w:val="24"/>
                      <w:szCs w:val="24"/>
                    </w:rPr>
                    <w:t>工作单元名称</w:t>
                  </w:r>
                </w:p>
              </w:tc>
              <w:tc>
                <w:tcPr>
                  <w:tcW w:w="4513" w:type="dxa"/>
                  <w:shd w:val="clear" w:color="000000" w:fill="FFFFFF"/>
                  <w:vAlign w:val="center"/>
                </w:tcPr>
                <w:p>
                  <w:pPr>
                    <w:jc w:val="center"/>
                    <w:rPr>
                      <w:rFonts w:ascii="仿宋" w:hAnsi="仿宋" w:eastAsia="仿宋" w:cs="宋体"/>
                      <w:b/>
                      <w:bCs/>
                      <w:sz w:val="24"/>
                      <w:szCs w:val="24"/>
                    </w:rPr>
                  </w:pPr>
                  <w:r>
                    <w:rPr>
                      <w:rFonts w:hint="eastAsia" w:ascii="仿宋" w:hAnsi="仿宋" w:eastAsia="仿宋" w:cs="宋体"/>
                      <w:b/>
                      <w:bCs/>
                      <w:sz w:val="24"/>
                      <w:szCs w:val="24"/>
                    </w:rPr>
                    <w:t>工作单元描述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18" w:type="dxa"/>
                  <w:vAlign w:val="center"/>
                </w:tcPr>
                <w:p>
                  <w:pPr>
                    <w:jc w:val="center"/>
                    <w:rPr>
                      <w:rFonts w:ascii="仿宋" w:hAnsi="仿宋" w:eastAsia="仿宋" w:cs="宋体"/>
                      <w:sz w:val="24"/>
                      <w:szCs w:val="24"/>
                    </w:rPr>
                  </w:pPr>
                  <w:r>
                    <w:rPr>
                      <w:rFonts w:ascii="仿宋" w:hAnsi="仿宋" w:eastAsia="仿宋" w:cs="宋体"/>
                      <w:sz w:val="24"/>
                      <w:szCs w:val="24"/>
                    </w:rPr>
                    <w:t>1</w:t>
                  </w:r>
                </w:p>
              </w:tc>
              <w:tc>
                <w:tcPr>
                  <w:tcW w:w="1843" w:type="dxa"/>
                  <w:vAlign w:val="center"/>
                </w:tcPr>
                <w:p>
                  <w:pPr>
                    <w:jc w:val="center"/>
                    <w:rPr>
                      <w:rFonts w:ascii="仿宋" w:hAnsi="仿宋" w:eastAsia="仿宋" w:cs="宋体"/>
                      <w:sz w:val="24"/>
                      <w:szCs w:val="24"/>
                    </w:rPr>
                  </w:pPr>
                  <w:r>
                    <w:rPr>
                      <w:rFonts w:hint="eastAsia" w:ascii="仿宋" w:hAnsi="仿宋" w:eastAsia="仿宋" w:cs="Arial"/>
                      <w:snapToGrid w:val="0"/>
                      <w:sz w:val="24"/>
                      <w:szCs w:val="24"/>
                      <w:lang w:eastAsia="zh-TW"/>
                    </w:rPr>
                    <w:t>人员录用</w:t>
                  </w:r>
                </w:p>
              </w:tc>
              <w:tc>
                <w:tcPr>
                  <w:tcW w:w="4513" w:type="dxa"/>
                  <w:vAlign w:val="center"/>
                </w:tcPr>
                <w:p>
                  <w:pPr>
                    <w:rPr>
                      <w:rFonts w:ascii="仿宋" w:hAnsi="仿宋" w:eastAsia="仿宋" w:cs="Arial"/>
                      <w:snapToGrid w:val="0"/>
                      <w:sz w:val="24"/>
                      <w:szCs w:val="24"/>
                    </w:rPr>
                  </w:pPr>
                  <w:r>
                    <w:rPr>
                      <w:rFonts w:hint="eastAsia" w:ascii="仿宋" w:hAnsi="仿宋" w:eastAsia="仿宋" w:cs="宋体"/>
                      <w:sz w:val="24"/>
                      <w:szCs w:val="24"/>
                    </w:rPr>
                    <w:t>检查人员录用文档等过程，测评信息系统录用人员时是否对人员提出要求以及是否对其进行各种审查和考核。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18" w:type="dxa"/>
                  <w:vAlign w:val="center"/>
                </w:tcPr>
                <w:p>
                  <w:pPr>
                    <w:jc w:val="center"/>
                    <w:rPr>
                      <w:rFonts w:ascii="仿宋" w:hAnsi="仿宋" w:eastAsia="仿宋" w:cs="宋体"/>
                      <w:sz w:val="24"/>
                      <w:szCs w:val="24"/>
                    </w:rPr>
                  </w:pPr>
                  <w:r>
                    <w:rPr>
                      <w:rFonts w:ascii="仿宋" w:hAnsi="仿宋" w:eastAsia="仿宋" w:cs="宋体"/>
                      <w:sz w:val="24"/>
                      <w:szCs w:val="24"/>
                    </w:rPr>
                    <w:t>2</w:t>
                  </w:r>
                </w:p>
              </w:tc>
              <w:tc>
                <w:tcPr>
                  <w:tcW w:w="1843" w:type="dxa"/>
                  <w:vAlign w:val="center"/>
                </w:tcPr>
                <w:p>
                  <w:pPr>
                    <w:jc w:val="center"/>
                    <w:rPr>
                      <w:rFonts w:ascii="仿宋" w:hAnsi="仿宋" w:eastAsia="仿宋" w:cs="宋体"/>
                      <w:sz w:val="24"/>
                      <w:szCs w:val="24"/>
                    </w:rPr>
                  </w:pPr>
                  <w:r>
                    <w:rPr>
                      <w:rFonts w:hint="eastAsia" w:ascii="仿宋" w:hAnsi="仿宋" w:eastAsia="仿宋" w:cs="Arial"/>
                      <w:snapToGrid w:val="0"/>
                      <w:sz w:val="24"/>
                      <w:szCs w:val="24"/>
                      <w:lang w:eastAsia="zh-TW"/>
                    </w:rPr>
                    <w:t>人员离岗</w:t>
                  </w:r>
                </w:p>
              </w:tc>
              <w:tc>
                <w:tcPr>
                  <w:tcW w:w="4513" w:type="dxa"/>
                  <w:vAlign w:val="center"/>
                </w:tcPr>
                <w:p>
                  <w:pPr>
                    <w:rPr>
                      <w:rFonts w:ascii="仿宋" w:hAnsi="仿宋" w:eastAsia="仿宋" w:cs="Arial"/>
                      <w:snapToGrid w:val="0"/>
                      <w:sz w:val="24"/>
                      <w:szCs w:val="24"/>
                      <w:lang w:eastAsia="zh-TW"/>
                    </w:rPr>
                  </w:pPr>
                  <w:r>
                    <w:rPr>
                      <w:rFonts w:hint="eastAsia" w:ascii="仿宋" w:hAnsi="仿宋" w:eastAsia="仿宋" w:cs="宋体"/>
                      <w:sz w:val="24"/>
                      <w:szCs w:val="24"/>
                    </w:rPr>
                    <w:t>检查人员离岗安全处理记录等过程，测评信息系统人员离岗时是否按照一定的手续办理。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18" w:type="dxa"/>
                  <w:vAlign w:val="center"/>
                </w:tcPr>
                <w:p>
                  <w:pPr>
                    <w:jc w:val="center"/>
                    <w:rPr>
                      <w:rFonts w:ascii="仿宋" w:hAnsi="仿宋" w:eastAsia="仿宋" w:cs="宋体"/>
                      <w:sz w:val="24"/>
                      <w:szCs w:val="24"/>
                    </w:rPr>
                  </w:pPr>
                  <w:r>
                    <w:rPr>
                      <w:rFonts w:ascii="仿宋" w:hAnsi="仿宋" w:eastAsia="仿宋" w:cs="宋体"/>
                      <w:sz w:val="24"/>
                      <w:szCs w:val="24"/>
                    </w:rPr>
                    <w:t>3</w:t>
                  </w:r>
                </w:p>
              </w:tc>
              <w:tc>
                <w:tcPr>
                  <w:tcW w:w="1843" w:type="dxa"/>
                  <w:vAlign w:val="center"/>
                </w:tcPr>
                <w:p>
                  <w:pPr>
                    <w:jc w:val="center"/>
                    <w:rPr>
                      <w:rFonts w:ascii="仿宋" w:hAnsi="仿宋" w:eastAsia="仿宋" w:cs="宋体"/>
                      <w:sz w:val="24"/>
                      <w:szCs w:val="24"/>
                    </w:rPr>
                  </w:pPr>
                  <w:r>
                    <w:rPr>
                      <w:rFonts w:hint="eastAsia" w:ascii="仿宋" w:hAnsi="仿宋" w:eastAsia="仿宋" w:cs="Arial"/>
                      <w:snapToGrid w:val="0"/>
                      <w:sz w:val="24"/>
                      <w:szCs w:val="24"/>
                      <w:lang w:eastAsia="zh-TW"/>
                    </w:rPr>
                    <w:t>安全意识教育和培训</w:t>
                  </w:r>
                </w:p>
              </w:tc>
              <w:tc>
                <w:tcPr>
                  <w:tcW w:w="4513" w:type="dxa"/>
                  <w:vAlign w:val="center"/>
                </w:tcPr>
                <w:p>
                  <w:pPr>
                    <w:rPr>
                      <w:rFonts w:ascii="仿宋" w:hAnsi="仿宋" w:eastAsia="仿宋" w:cs="Arial"/>
                      <w:snapToGrid w:val="0"/>
                      <w:sz w:val="24"/>
                      <w:szCs w:val="24"/>
                      <w:lang w:eastAsia="zh-TW"/>
                    </w:rPr>
                  </w:pPr>
                  <w:r>
                    <w:rPr>
                      <w:rFonts w:hint="eastAsia" w:ascii="仿宋" w:hAnsi="仿宋" w:eastAsia="仿宋" w:cs="宋体"/>
                      <w:sz w:val="24"/>
                      <w:szCs w:val="24"/>
                    </w:rPr>
                    <w:t>检查培训计划和执行记录等文档，测评是否对人员进行安全方面的教育和培训。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18" w:type="dxa"/>
                  <w:vAlign w:val="center"/>
                </w:tcPr>
                <w:p>
                  <w:pPr>
                    <w:jc w:val="center"/>
                    <w:rPr>
                      <w:rFonts w:ascii="仿宋" w:hAnsi="仿宋" w:eastAsia="仿宋" w:cs="宋体"/>
                      <w:sz w:val="24"/>
                      <w:szCs w:val="24"/>
                    </w:rPr>
                  </w:pPr>
                  <w:r>
                    <w:rPr>
                      <w:rFonts w:hint="eastAsia" w:ascii="仿宋" w:hAnsi="仿宋" w:eastAsia="仿宋" w:cs="宋体"/>
                      <w:sz w:val="24"/>
                      <w:szCs w:val="24"/>
                    </w:rPr>
                    <w:t>4</w:t>
                  </w:r>
                </w:p>
              </w:tc>
              <w:tc>
                <w:tcPr>
                  <w:tcW w:w="1843" w:type="dxa"/>
                  <w:vAlign w:val="center"/>
                </w:tcPr>
                <w:p>
                  <w:pPr>
                    <w:jc w:val="cente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外部人员访问管理</w:t>
                  </w:r>
                </w:p>
              </w:tc>
              <w:tc>
                <w:tcPr>
                  <w:tcW w:w="4513" w:type="dxa"/>
                  <w:vAlign w:val="center"/>
                </w:tcPr>
                <w:p>
                  <w:pPr>
                    <w:rPr>
                      <w:rFonts w:ascii="仿宋" w:hAnsi="仿宋" w:eastAsia="仿宋" w:cs="Arial"/>
                      <w:snapToGrid w:val="0"/>
                      <w:sz w:val="24"/>
                      <w:szCs w:val="24"/>
                      <w:lang w:eastAsia="zh-TW"/>
                    </w:rPr>
                  </w:pPr>
                  <w:r>
                    <w:rPr>
                      <w:rFonts w:hint="eastAsia" w:ascii="仿宋" w:hAnsi="仿宋" w:eastAsia="仿宋" w:cs="宋体"/>
                      <w:sz w:val="24"/>
                      <w:szCs w:val="24"/>
                    </w:rPr>
                    <w:t>检查有关文档等过程，测评对第三方人员访问（物理、逻辑）系统是否采取必要控制措施。</w:t>
                  </w:r>
                </w:p>
              </w:tc>
            </w:tr>
          </w:tbl>
          <w:p>
            <w:pPr>
              <w:spacing w:line="360" w:lineRule="auto"/>
              <w:ind w:firstLine="480" w:firstLineChars="200"/>
              <w:rPr>
                <w:rFonts w:ascii="仿宋" w:hAnsi="仿宋" w:eastAsia="仿宋" w:cs="宋体"/>
                <w:sz w:val="24"/>
                <w:szCs w:val="24"/>
              </w:rPr>
            </w:pP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（9）安全建设管理</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安全建设管理测评是为了了解评测系统建设管理过程中的安全控制情况，主要涉及安全主管人员、系统建设负责人、各类管理制度、操作规程文件、执行过程记录等对象。在内容上，安全建设管理测评实施过程涉及的工作单元，具体如下表：</w:t>
            </w:r>
          </w:p>
          <w:p>
            <w:pPr>
              <w:spacing w:before="236" w:beforeLines="50" w:after="236" w:afterLines="50" w:line="276" w:lineRule="auto"/>
              <w:ind w:firstLine="360" w:firstLineChars="150"/>
              <w:jc w:val="center"/>
              <w:rPr>
                <w:rFonts w:ascii="仿宋" w:hAnsi="仿宋" w:eastAsia="仿宋" w:cs="宋体"/>
                <w:sz w:val="24"/>
                <w:szCs w:val="24"/>
              </w:rPr>
            </w:pPr>
            <w:r>
              <w:rPr>
                <w:rFonts w:hint="eastAsia" w:ascii="仿宋" w:hAnsi="仿宋" w:eastAsia="仿宋" w:cs="宋体"/>
                <w:sz w:val="24"/>
                <w:szCs w:val="24"/>
              </w:rPr>
              <w:t>表</w:t>
            </w:r>
            <w:r>
              <w:rPr>
                <w:rFonts w:ascii="仿宋" w:hAnsi="仿宋" w:eastAsia="仿宋" w:cs="宋体"/>
                <w:sz w:val="24"/>
                <w:szCs w:val="24"/>
              </w:rPr>
              <w:t>9</w:t>
            </w:r>
            <w:r>
              <w:rPr>
                <w:rFonts w:hint="eastAsia" w:ascii="仿宋" w:hAnsi="仿宋" w:eastAsia="仿宋" w:cs="宋体"/>
                <w:sz w:val="24"/>
                <w:szCs w:val="24"/>
              </w:rPr>
              <w:t>安全建设管理测评内容</w:t>
            </w:r>
          </w:p>
          <w:tbl>
            <w:tblPr>
              <w:tblStyle w:val="20"/>
              <w:tblW w:w="7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4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51" w:type="dxa"/>
                  <w:shd w:val="clear" w:color="000000" w:fill="FFFFFF"/>
                  <w:vAlign w:val="center"/>
                </w:tcPr>
                <w:p>
                  <w:pPr>
                    <w:rPr>
                      <w:rFonts w:ascii="仿宋" w:hAnsi="仿宋" w:eastAsia="仿宋" w:cs="宋体"/>
                      <w:b/>
                      <w:bCs/>
                      <w:sz w:val="24"/>
                      <w:szCs w:val="24"/>
                    </w:rPr>
                  </w:pPr>
                  <w:r>
                    <w:rPr>
                      <w:rFonts w:hint="eastAsia" w:ascii="仿宋" w:hAnsi="仿宋" w:eastAsia="仿宋" w:cs="宋体"/>
                      <w:b/>
                      <w:bCs/>
                      <w:sz w:val="24"/>
                      <w:szCs w:val="24"/>
                    </w:rPr>
                    <w:t>序号</w:t>
                  </w:r>
                </w:p>
              </w:tc>
              <w:tc>
                <w:tcPr>
                  <w:tcW w:w="1843" w:type="dxa"/>
                  <w:shd w:val="clear" w:color="000000" w:fill="FFFFFF"/>
                  <w:vAlign w:val="center"/>
                </w:tcPr>
                <w:p>
                  <w:pPr>
                    <w:jc w:val="center"/>
                    <w:rPr>
                      <w:rFonts w:ascii="仿宋" w:hAnsi="仿宋" w:eastAsia="仿宋" w:cs="宋体"/>
                      <w:b/>
                      <w:bCs/>
                      <w:sz w:val="24"/>
                      <w:szCs w:val="24"/>
                    </w:rPr>
                  </w:pPr>
                  <w:r>
                    <w:rPr>
                      <w:rFonts w:hint="eastAsia" w:ascii="仿宋" w:hAnsi="仿宋" w:eastAsia="仿宋" w:cs="宋体"/>
                      <w:b/>
                      <w:bCs/>
                      <w:sz w:val="24"/>
                      <w:szCs w:val="24"/>
                    </w:rPr>
                    <w:t>工作单元名称</w:t>
                  </w:r>
                </w:p>
              </w:tc>
              <w:tc>
                <w:tcPr>
                  <w:tcW w:w="4534" w:type="dxa"/>
                  <w:shd w:val="clear" w:color="000000" w:fill="FFFFFF"/>
                  <w:vAlign w:val="center"/>
                </w:tcPr>
                <w:p>
                  <w:pPr>
                    <w:jc w:val="center"/>
                    <w:rPr>
                      <w:rFonts w:ascii="仿宋" w:hAnsi="仿宋" w:eastAsia="仿宋" w:cs="宋体"/>
                      <w:b/>
                      <w:bCs/>
                      <w:sz w:val="24"/>
                      <w:szCs w:val="24"/>
                    </w:rPr>
                  </w:pPr>
                  <w:r>
                    <w:rPr>
                      <w:rFonts w:hint="eastAsia" w:ascii="仿宋" w:hAnsi="仿宋" w:eastAsia="仿宋" w:cs="宋体"/>
                      <w:b/>
                      <w:bCs/>
                      <w:sz w:val="24"/>
                      <w:szCs w:val="24"/>
                    </w:rPr>
                    <w:t>工作单元描述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pPr>
                    <w:jc w:val="center"/>
                    <w:rPr>
                      <w:rFonts w:ascii="仿宋" w:hAnsi="仿宋" w:eastAsia="仿宋" w:cs="宋体"/>
                      <w:sz w:val="24"/>
                      <w:szCs w:val="24"/>
                    </w:rPr>
                  </w:pPr>
                  <w:r>
                    <w:rPr>
                      <w:rFonts w:ascii="仿宋" w:hAnsi="仿宋" w:eastAsia="仿宋" w:cs="宋体"/>
                      <w:sz w:val="24"/>
                      <w:szCs w:val="24"/>
                    </w:rPr>
                    <w:t>1</w:t>
                  </w:r>
                </w:p>
              </w:tc>
              <w:tc>
                <w:tcPr>
                  <w:tcW w:w="1843" w:type="dxa"/>
                  <w:vAlign w:val="center"/>
                </w:tcPr>
                <w:p>
                  <w:pPr>
                    <w:jc w:val="center"/>
                    <w:rPr>
                      <w:rFonts w:ascii="仿宋" w:hAnsi="仿宋" w:eastAsia="仿宋" w:cs="宋体"/>
                      <w:sz w:val="24"/>
                      <w:szCs w:val="24"/>
                    </w:rPr>
                  </w:pPr>
                  <w:r>
                    <w:rPr>
                      <w:rFonts w:hint="eastAsia" w:ascii="仿宋" w:hAnsi="仿宋" w:eastAsia="仿宋"/>
                      <w:sz w:val="24"/>
                      <w:szCs w:val="24"/>
                    </w:rPr>
                    <w:t>定级和备案</w:t>
                  </w:r>
                </w:p>
              </w:tc>
              <w:tc>
                <w:tcPr>
                  <w:tcW w:w="4534" w:type="dxa"/>
                  <w:vAlign w:val="center"/>
                </w:tcPr>
                <w:p>
                  <w:pPr>
                    <w:rPr>
                      <w:rFonts w:ascii="仿宋" w:hAnsi="仿宋" w:eastAsia="仿宋" w:cs="Arial"/>
                      <w:snapToGrid w:val="0"/>
                      <w:sz w:val="24"/>
                      <w:szCs w:val="24"/>
                    </w:rPr>
                  </w:pPr>
                  <w:r>
                    <w:rPr>
                      <w:rFonts w:hint="eastAsia" w:ascii="仿宋" w:hAnsi="仿宋" w:eastAsia="仿宋" w:cs="宋体"/>
                      <w:sz w:val="24"/>
                      <w:szCs w:val="24"/>
                    </w:rPr>
                    <w:t>检查系统定级相关文档等过程，测评是否按照一定要求确定系统的安全等级。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pPr>
                    <w:jc w:val="center"/>
                    <w:rPr>
                      <w:rFonts w:ascii="仿宋" w:hAnsi="仿宋" w:eastAsia="仿宋" w:cs="宋体"/>
                      <w:sz w:val="24"/>
                      <w:szCs w:val="24"/>
                    </w:rPr>
                  </w:pPr>
                  <w:r>
                    <w:rPr>
                      <w:rFonts w:ascii="仿宋" w:hAnsi="仿宋" w:eastAsia="仿宋" w:cs="宋体"/>
                      <w:sz w:val="24"/>
                      <w:szCs w:val="24"/>
                    </w:rPr>
                    <w:t>2</w:t>
                  </w:r>
                </w:p>
              </w:tc>
              <w:tc>
                <w:tcPr>
                  <w:tcW w:w="1843" w:type="dxa"/>
                  <w:vAlign w:val="center"/>
                </w:tcPr>
                <w:p>
                  <w:pPr>
                    <w:jc w:val="center"/>
                    <w:rPr>
                      <w:rFonts w:ascii="仿宋" w:hAnsi="仿宋" w:eastAsia="仿宋" w:cs="宋体"/>
                      <w:sz w:val="24"/>
                      <w:szCs w:val="24"/>
                    </w:rPr>
                  </w:pPr>
                  <w:r>
                    <w:rPr>
                      <w:rFonts w:hint="eastAsia" w:ascii="仿宋" w:hAnsi="仿宋" w:eastAsia="仿宋"/>
                      <w:sz w:val="24"/>
                      <w:szCs w:val="24"/>
                    </w:rPr>
                    <w:t>安全方案设计</w:t>
                  </w:r>
                </w:p>
              </w:tc>
              <w:tc>
                <w:tcPr>
                  <w:tcW w:w="4534" w:type="dxa"/>
                  <w:vAlign w:val="center"/>
                </w:tcPr>
                <w:p>
                  <w:pPr>
                    <w:rPr>
                      <w:rFonts w:ascii="仿宋" w:hAnsi="仿宋" w:eastAsia="仿宋" w:cs="Arial"/>
                      <w:snapToGrid w:val="0"/>
                      <w:sz w:val="24"/>
                      <w:szCs w:val="24"/>
                      <w:lang w:eastAsia="zh-TW"/>
                    </w:rPr>
                  </w:pPr>
                  <w:r>
                    <w:rPr>
                      <w:rFonts w:hint="eastAsia" w:ascii="仿宋" w:hAnsi="仿宋" w:eastAsia="仿宋" w:cs="宋体"/>
                      <w:sz w:val="24"/>
                      <w:szCs w:val="24"/>
                    </w:rPr>
                    <w:t>检查系统安全建设方案等文档，测评系统整体的安全规划设计是否按照一定流程进行。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1" w:type="dxa"/>
                  <w:vAlign w:val="center"/>
                </w:tcPr>
                <w:p>
                  <w:pPr>
                    <w:jc w:val="center"/>
                    <w:rPr>
                      <w:rFonts w:ascii="仿宋" w:hAnsi="仿宋" w:eastAsia="仿宋" w:cs="宋体"/>
                      <w:sz w:val="24"/>
                      <w:szCs w:val="24"/>
                    </w:rPr>
                  </w:pPr>
                  <w:r>
                    <w:rPr>
                      <w:rFonts w:ascii="仿宋" w:hAnsi="仿宋" w:eastAsia="仿宋" w:cs="宋体"/>
                      <w:sz w:val="24"/>
                      <w:szCs w:val="24"/>
                    </w:rPr>
                    <w:t>3</w:t>
                  </w:r>
                </w:p>
              </w:tc>
              <w:tc>
                <w:tcPr>
                  <w:tcW w:w="1843" w:type="dxa"/>
                  <w:vAlign w:val="center"/>
                </w:tcPr>
                <w:p>
                  <w:pPr>
                    <w:jc w:val="center"/>
                    <w:rPr>
                      <w:rFonts w:ascii="仿宋" w:hAnsi="仿宋" w:eastAsia="仿宋" w:cs="宋体"/>
                      <w:sz w:val="24"/>
                      <w:szCs w:val="24"/>
                    </w:rPr>
                  </w:pPr>
                  <w:r>
                    <w:rPr>
                      <w:rFonts w:hint="eastAsia" w:ascii="仿宋" w:hAnsi="仿宋" w:eastAsia="仿宋"/>
                      <w:sz w:val="24"/>
                      <w:szCs w:val="24"/>
                    </w:rPr>
                    <w:t>产品采购和使用</w:t>
                  </w:r>
                </w:p>
              </w:tc>
              <w:tc>
                <w:tcPr>
                  <w:tcW w:w="4534" w:type="dxa"/>
                  <w:vAlign w:val="center"/>
                </w:tcPr>
                <w:p>
                  <w:pPr>
                    <w:rPr>
                      <w:rFonts w:ascii="仿宋" w:hAnsi="仿宋" w:eastAsia="仿宋" w:cs="Arial"/>
                      <w:snapToGrid w:val="0"/>
                      <w:sz w:val="24"/>
                      <w:szCs w:val="24"/>
                      <w:lang w:eastAsia="zh-TW"/>
                    </w:rPr>
                  </w:pPr>
                  <w:r>
                    <w:rPr>
                      <w:rFonts w:hint="eastAsia" w:ascii="仿宋" w:hAnsi="仿宋" w:eastAsia="仿宋" w:cs="宋体"/>
                      <w:sz w:val="24"/>
                      <w:szCs w:val="24"/>
                    </w:rPr>
                    <w:t>测评是否按照一定的要求进行系统的产品采购。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1" w:type="dxa"/>
                  <w:vAlign w:val="center"/>
                </w:tcPr>
                <w:p>
                  <w:pPr>
                    <w:jc w:val="center"/>
                    <w:rPr>
                      <w:rFonts w:ascii="仿宋" w:hAnsi="仿宋" w:eastAsia="仿宋" w:cs="宋体"/>
                      <w:sz w:val="24"/>
                      <w:szCs w:val="24"/>
                    </w:rPr>
                  </w:pPr>
                  <w:r>
                    <w:rPr>
                      <w:rFonts w:hint="eastAsia" w:ascii="仿宋" w:hAnsi="仿宋" w:eastAsia="仿宋" w:cs="宋体"/>
                      <w:sz w:val="24"/>
                      <w:szCs w:val="24"/>
                    </w:rPr>
                    <w:t>4</w:t>
                  </w:r>
                </w:p>
              </w:tc>
              <w:tc>
                <w:tcPr>
                  <w:tcW w:w="1843" w:type="dxa"/>
                  <w:vAlign w:val="center"/>
                </w:tcPr>
                <w:p>
                  <w:pPr>
                    <w:jc w:val="center"/>
                    <w:rPr>
                      <w:rFonts w:ascii="仿宋" w:hAnsi="仿宋" w:eastAsia="仿宋" w:cs="Arial"/>
                      <w:snapToGrid w:val="0"/>
                      <w:sz w:val="24"/>
                      <w:szCs w:val="24"/>
                      <w:lang w:eastAsia="zh-TW"/>
                    </w:rPr>
                  </w:pPr>
                  <w:r>
                    <w:rPr>
                      <w:rFonts w:hint="eastAsia" w:ascii="仿宋" w:hAnsi="仿宋" w:eastAsia="仿宋"/>
                      <w:sz w:val="24"/>
                      <w:szCs w:val="24"/>
                    </w:rPr>
                    <w:t>自行软件开发</w:t>
                  </w:r>
                </w:p>
              </w:tc>
              <w:tc>
                <w:tcPr>
                  <w:tcW w:w="4534" w:type="dxa"/>
                  <w:vAlign w:val="center"/>
                </w:tcPr>
                <w:p>
                  <w:pPr>
                    <w:rPr>
                      <w:rFonts w:ascii="仿宋" w:hAnsi="仿宋" w:eastAsia="仿宋" w:cs="Arial"/>
                      <w:snapToGrid w:val="0"/>
                      <w:sz w:val="24"/>
                      <w:szCs w:val="24"/>
                      <w:lang w:eastAsia="zh-TW"/>
                    </w:rPr>
                  </w:pPr>
                  <w:r>
                    <w:rPr>
                      <w:rFonts w:hint="eastAsia" w:ascii="仿宋" w:hAnsi="仿宋" w:eastAsia="仿宋" w:cs="宋体"/>
                      <w:sz w:val="24"/>
                      <w:szCs w:val="24"/>
                    </w:rPr>
                    <w:t>检查相关软件开发文档等，测评自行开发的软件是否采取必要的措施保证开发过程的安全性。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1" w:type="dxa"/>
                  <w:vAlign w:val="center"/>
                </w:tcPr>
                <w:p>
                  <w:pPr>
                    <w:jc w:val="center"/>
                    <w:rPr>
                      <w:rFonts w:ascii="仿宋" w:hAnsi="仿宋" w:eastAsia="仿宋" w:cs="宋体"/>
                      <w:sz w:val="24"/>
                      <w:szCs w:val="24"/>
                    </w:rPr>
                  </w:pPr>
                  <w:r>
                    <w:rPr>
                      <w:rFonts w:hint="eastAsia" w:ascii="仿宋" w:hAnsi="仿宋" w:eastAsia="仿宋" w:cs="宋体"/>
                      <w:sz w:val="24"/>
                      <w:szCs w:val="24"/>
                    </w:rPr>
                    <w:t>5</w:t>
                  </w:r>
                </w:p>
              </w:tc>
              <w:tc>
                <w:tcPr>
                  <w:tcW w:w="1843" w:type="dxa"/>
                  <w:vAlign w:val="center"/>
                </w:tcPr>
                <w:p>
                  <w:pPr>
                    <w:jc w:val="center"/>
                    <w:rPr>
                      <w:rFonts w:ascii="仿宋" w:hAnsi="仿宋" w:eastAsia="仿宋" w:cs="Arial"/>
                      <w:snapToGrid w:val="0"/>
                      <w:sz w:val="24"/>
                      <w:szCs w:val="24"/>
                      <w:lang w:eastAsia="zh-TW"/>
                    </w:rPr>
                  </w:pPr>
                  <w:r>
                    <w:rPr>
                      <w:rFonts w:hint="eastAsia" w:ascii="仿宋" w:hAnsi="仿宋" w:eastAsia="仿宋"/>
                      <w:sz w:val="24"/>
                      <w:szCs w:val="24"/>
                    </w:rPr>
                    <w:t>外包软件开发</w:t>
                  </w:r>
                </w:p>
              </w:tc>
              <w:tc>
                <w:tcPr>
                  <w:tcW w:w="4534" w:type="dxa"/>
                  <w:vAlign w:val="center"/>
                </w:tcPr>
                <w:p>
                  <w:pPr>
                    <w:rPr>
                      <w:rFonts w:ascii="仿宋" w:hAnsi="仿宋" w:eastAsia="仿宋" w:cs="Arial"/>
                      <w:snapToGrid w:val="0"/>
                      <w:sz w:val="24"/>
                      <w:szCs w:val="24"/>
                      <w:lang w:eastAsia="zh-TW"/>
                    </w:rPr>
                  </w:pPr>
                  <w:r>
                    <w:rPr>
                      <w:rFonts w:hint="eastAsia" w:ascii="仿宋" w:hAnsi="仿宋" w:eastAsia="仿宋" w:cs="宋体"/>
                      <w:sz w:val="24"/>
                      <w:szCs w:val="24"/>
                    </w:rPr>
                    <w:t>检查相关文档，测评外包开发的软件是否采取必要的措施保证开发过程的安全性和日后的维护工作能够正常开展。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1" w:type="dxa"/>
                  <w:vAlign w:val="center"/>
                </w:tcPr>
                <w:p>
                  <w:pPr>
                    <w:jc w:val="center"/>
                    <w:rPr>
                      <w:rFonts w:ascii="仿宋" w:hAnsi="仿宋" w:eastAsia="仿宋" w:cs="宋体"/>
                      <w:sz w:val="24"/>
                      <w:szCs w:val="24"/>
                    </w:rPr>
                  </w:pPr>
                  <w:r>
                    <w:rPr>
                      <w:rFonts w:hint="eastAsia" w:ascii="仿宋" w:hAnsi="仿宋" w:eastAsia="仿宋" w:cs="宋体"/>
                      <w:sz w:val="24"/>
                      <w:szCs w:val="24"/>
                    </w:rPr>
                    <w:t>6</w:t>
                  </w:r>
                </w:p>
              </w:tc>
              <w:tc>
                <w:tcPr>
                  <w:tcW w:w="1843" w:type="dxa"/>
                  <w:vAlign w:val="center"/>
                </w:tcPr>
                <w:p>
                  <w:pPr>
                    <w:jc w:val="center"/>
                    <w:rPr>
                      <w:rFonts w:ascii="仿宋" w:hAnsi="仿宋" w:eastAsia="仿宋" w:cs="Arial"/>
                      <w:snapToGrid w:val="0"/>
                      <w:sz w:val="24"/>
                      <w:szCs w:val="24"/>
                      <w:lang w:eastAsia="zh-TW"/>
                    </w:rPr>
                  </w:pPr>
                  <w:r>
                    <w:rPr>
                      <w:rFonts w:hint="eastAsia" w:ascii="仿宋" w:hAnsi="仿宋" w:eastAsia="仿宋"/>
                      <w:sz w:val="24"/>
                      <w:szCs w:val="24"/>
                    </w:rPr>
                    <w:t>工程实施</w:t>
                  </w:r>
                </w:p>
              </w:tc>
              <w:tc>
                <w:tcPr>
                  <w:tcW w:w="4534" w:type="dxa"/>
                  <w:vAlign w:val="center"/>
                </w:tcPr>
                <w:p>
                  <w:pPr>
                    <w:rPr>
                      <w:rFonts w:ascii="仿宋" w:hAnsi="仿宋" w:eastAsia="仿宋" w:cs="Arial"/>
                      <w:snapToGrid w:val="0"/>
                      <w:sz w:val="24"/>
                      <w:szCs w:val="24"/>
                      <w:lang w:eastAsia="zh-TW"/>
                    </w:rPr>
                  </w:pPr>
                  <w:r>
                    <w:rPr>
                      <w:rFonts w:hint="eastAsia" w:ascii="仿宋" w:hAnsi="仿宋" w:eastAsia="仿宋" w:cs="宋体"/>
                      <w:sz w:val="24"/>
                      <w:szCs w:val="24"/>
                    </w:rPr>
                    <w:t>检查相关文档，测评系统建设的实施过程是否采取必要的措施使其在机构可控的范围内进行。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1" w:type="dxa"/>
                  <w:vAlign w:val="center"/>
                </w:tcPr>
                <w:p>
                  <w:pPr>
                    <w:jc w:val="center"/>
                    <w:rPr>
                      <w:rFonts w:ascii="仿宋" w:hAnsi="仿宋" w:eastAsia="仿宋" w:cs="宋体"/>
                      <w:sz w:val="24"/>
                      <w:szCs w:val="24"/>
                    </w:rPr>
                  </w:pPr>
                  <w:r>
                    <w:rPr>
                      <w:rFonts w:hint="eastAsia" w:ascii="仿宋" w:hAnsi="仿宋" w:eastAsia="仿宋" w:cs="宋体"/>
                      <w:sz w:val="24"/>
                      <w:szCs w:val="24"/>
                    </w:rPr>
                    <w:t>7</w:t>
                  </w:r>
                </w:p>
              </w:tc>
              <w:tc>
                <w:tcPr>
                  <w:tcW w:w="1843" w:type="dxa"/>
                  <w:vAlign w:val="center"/>
                </w:tcPr>
                <w:p>
                  <w:pPr>
                    <w:jc w:val="center"/>
                    <w:rPr>
                      <w:rFonts w:ascii="仿宋" w:hAnsi="仿宋" w:eastAsia="仿宋" w:cs="Arial"/>
                      <w:snapToGrid w:val="0"/>
                      <w:sz w:val="24"/>
                      <w:szCs w:val="24"/>
                      <w:lang w:eastAsia="zh-TW"/>
                    </w:rPr>
                  </w:pPr>
                  <w:r>
                    <w:rPr>
                      <w:rFonts w:hint="eastAsia" w:ascii="仿宋" w:hAnsi="仿宋" w:eastAsia="仿宋"/>
                      <w:sz w:val="24"/>
                      <w:szCs w:val="24"/>
                    </w:rPr>
                    <w:t>测试验收</w:t>
                  </w:r>
                </w:p>
              </w:tc>
              <w:tc>
                <w:tcPr>
                  <w:tcW w:w="4534" w:type="dxa"/>
                  <w:vAlign w:val="center"/>
                </w:tcPr>
                <w:p>
                  <w:pPr>
                    <w:rPr>
                      <w:rFonts w:ascii="仿宋" w:hAnsi="仿宋" w:eastAsia="仿宋" w:cs="Arial"/>
                      <w:snapToGrid w:val="0"/>
                      <w:sz w:val="24"/>
                      <w:szCs w:val="24"/>
                      <w:lang w:eastAsia="zh-TW"/>
                    </w:rPr>
                  </w:pPr>
                  <w:r>
                    <w:rPr>
                      <w:rFonts w:hint="eastAsia" w:ascii="仿宋" w:hAnsi="仿宋" w:eastAsia="仿宋" w:cs="宋体"/>
                      <w:sz w:val="24"/>
                      <w:szCs w:val="24"/>
                    </w:rPr>
                    <w:t>检查测试验收等相关文档，测评系统运行前是否对其进行测试验收工作。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1" w:type="dxa"/>
                  <w:vAlign w:val="center"/>
                </w:tcPr>
                <w:p>
                  <w:pPr>
                    <w:jc w:val="center"/>
                    <w:rPr>
                      <w:rFonts w:ascii="仿宋" w:hAnsi="仿宋" w:eastAsia="仿宋" w:cs="宋体"/>
                      <w:sz w:val="24"/>
                      <w:szCs w:val="24"/>
                    </w:rPr>
                  </w:pPr>
                  <w:r>
                    <w:rPr>
                      <w:rFonts w:hint="eastAsia" w:ascii="仿宋" w:hAnsi="仿宋" w:eastAsia="仿宋" w:cs="宋体"/>
                      <w:sz w:val="24"/>
                      <w:szCs w:val="24"/>
                    </w:rPr>
                    <w:t>8</w:t>
                  </w:r>
                </w:p>
              </w:tc>
              <w:tc>
                <w:tcPr>
                  <w:tcW w:w="1843" w:type="dxa"/>
                  <w:vAlign w:val="center"/>
                </w:tcPr>
                <w:p>
                  <w:pPr>
                    <w:jc w:val="center"/>
                    <w:rPr>
                      <w:rFonts w:ascii="仿宋" w:hAnsi="仿宋" w:eastAsia="仿宋" w:cs="Arial"/>
                      <w:snapToGrid w:val="0"/>
                      <w:sz w:val="24"/>
                      <w:szCs w:val="24"/>
                      <w:lang w:eastAsia="zh-TW"/>
                    </w:rPr>
                  </w:pPr>
                  <w:r>
                    <w:rPr>
                      <w:rFonts w:hint="eastAsia" w:ascii="仿宋" w:hAnsi="仿宋" w:eastAsia="仿宋"/>
                      <w:sz w:val="24"/>
                      <w:szCs w:val="24"/>
                    </w:rPr>
                    <w:t>系统交付</w:t>
                  </w:r>
                </w:p>
              </w:tc>
              <w:tc>
                <w:tcPr>
                  <w:tcW w:w="4534" w:type="dxa"/>
                  <w:vAlign w:val="center"/>
                </w:tcPr>
                <w:p>
                  <w:pPr>
                    <w:rPr>
                      <w:rFonts w:ascii="仿宋" w:hAnsi="仿宋" w:eastAsia="仿宋" w:cs="Arial"/>
                      <w:snapToGrid w:val="0"/>
                      <w:sz w:val="24"/>
                      <w:szCs w:val="24"/>
                      <w:lang w:eastAsia="zh-TW"/>
                    </w:rPr>
                  </w:pPr>
                  <w:r>
                    <w:rPr>
                      <w:rFonts w:hint="eastAsia" w:ascii="仿宋" w:hAnsi="仿宋" w:eastAsia="仿宋" w:cs="宋体"/>
                      <w:sz w:val="24"/>
                      <w:szCs w:val="24"/>
                    </w:rPr>
                    <w:t>检查系统交付清单等过程，测评是否采取必要的措施对系统交付过程进行有效控制。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1" w:type="dxa"/>
                  <w:vAlign w:val="center"/>
                </w:tcPr>
                <w:p>
                  <w:pPr>
                    <w:jc w:val="center"/>
                    <w:rPr>
                      <w:rFonts w:ascii="仿宋" w:hAnsi="仿宋" w:eastAsia="仿宋" w:cs="宋体"/>
                      <w:sz w:val="24"/>
                      <w:szCs w:val="24"/>
                    </w:rPr>
                  </w:pPr>
                  <w:r>
                    <w:rPr>
                      <w:rFonts w:hint="eastAsia" w:ascii="仿宋" w:hAnsi="仿宋" w:eastAsia="仿宋" w:cs="宋体"/>
                      <w:sz w:val="24"/>
                      <w:szCs w:val="24"/>
                    </w:rPr>
                    <w:t>9</w:t>
                  </w:r>
                </w:p>
              </w:tc>
              <w:tc>
                <w:tcPr>
                  <w:tcW w:w="1843" w:type="dxa"/>
                  <w:vAlign w:val="center"/>
                </w:tcPr>
                <w:p>
                  <w:pPr>
                    <w:jc w:val="center"/>
                    <w:rPr>
                      <w:rFonts w:ascii="仿宋" w:hAnsi="仿宋" w:eastAsia="仿宋" w:cs="Arial"/>
                      <w:snapToGrid w:val="0"/>
                      <w:sz w:val="24"/>
                      <w:szCs w:val="24"/>
                      <w:lang w:eastAsia="zh-TW"/>
                    </w:rPr>
                  </w:pPr>
                  <w:r>
                    <w:rPr>
                      <w:rFonts w:hint="eastAsia" w:ascii="仿宋" w:hAnsi="仿宋" w:eastAsia="仿宋"/>
                      <w:sz w:val="24"/>
                      <w:szCs w:val="24"/>
                    </w:rPr>
                    <w:t>等级测评</w:t>
                  </w:r>
                </w:p>
              </w:tc>
              <w:tc>
                <w:tcPr>
                  <w:tcW w:w="4534" w:type="dxa"/>
                  <w:vAlign w:val="center"/>
                </w:tcPr>
                <w:p>
                  <w:pP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检查系统之前等级测评的情况，以及之前测评机构的资质等。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1" w:type="dxa"/>
                  <w:vAlign w:val="center"/>
                </w:tcPr>
                <w:p>
                  <w:pPr>
                    <w:jc w:val="center"/>
                    <w:rPr>
                      <w:rFonts w:ascii="仿宋" w:hAnsi="仿宋" w:eastAsia="仿宋" w:cs="宋体"/>
                      <w:sz w:val="24"/>
                      <w:szCs w:val="24"/>
                    </w:rPr>
                  </w:pPr>
                  <w:r>
                    <w:rPr>
                      <w:rFonts w:hint="eastAsia" w:ascii="仿宋" w:hAnsi="仿宋" w:eastAsia="仿宋" w:cs="宋体"/>
                      <w:sz w:val="24"/>
                      <w:szCs w:val="24"/>
                    </w:rPr>
                    <w:t>10</w:t>
                  </w:r>
                </w:p>
              </w:tc>
              <w:tc>
                <w:tcPr>
                  <w:tcW w:w="1843" w:type="dxa"/>
                  <w:vAlign w:val="center"/>
                </w:tcPr>
                <w:p>
                  <w:pPr>
                    <w:jc w:val="center"/>
                    <w:rPr>
                      <w:rFonts w:ascii="仿宋" w:hAnsi="仿宋" w:eastAsia="仿宋" w:cs="Arial"/>
                      <w:snapToGrid w:val="0"/>
                      <w:sz w:val="24"/>
                      <w:szCs w:val="24"/>
                      <w:lang w:eastAsia="zh-TW"/>
                    </w:rPr>
                  </w:pPr>
                  <w:r>
                    <w:rPr>
                      <w:rFonts w:hint="eastAsia" w:ascii="仿宋" w:hAnsi="仿宋" w:eastAsia="仿宋"/>
                      <w:sz w:val="24"/>
                      <w:szCs w:val="24"/>
                    </w:rPr>
                    <w:t>服务供应商选择</w:t>
                  </w:r>
                </w:p>
              </w:tc>
              <w:tc>
                <w:tcPr>
                  <w:tcW w:w="4534" w:type="dxa"/>
                  <w:vAlign w:val="center"/>
                </w:tcPr>
                <w:p>
                  <w:pPr>
                    <w:rPr>
                      <w:rFonts w:ascii="仿宋" w:hAnsi="仿宋" w:eastAsia="仿宋" w:cs="Arial"/>
                      <w:snapToGrid w:val="0"/>
                      <w:sz w:val="24"/>
                      <w:szCs w:val="24"/>
                      <w:lang w:eastAsia="zh-TW"/>
                    </w:rPr>
                  </w:pPr>
                  <w:r>
                    <w:rPr>
                      <w:rFonts w:hint="eastAsia" w:ascii="仿宋" w:hAnsi="仿宋" w:eastAsia="仿宋" w:cs="宋体"/>
                      <w:sz w:val="24"/>
                      <w:szCs w:val="24"/>
                    </w:rPr>
                    <w:t>测评是否选择符合国家有关规定的安全服务单位进行相关的安全服务工作。</w:t>
                  </w:r>
                </w:p>
              </w:tc>
            </w:tr>
          </w:tbl>
          <w:p>
            <w:pPr>
              <w:rPr>
                <w:rFonts w:ascii="仿宋" w:hAnsi="仿宋" w:eastAsia="仿宋" w:cs="宋体"/>
                <w:sz w:val="24"/>
                <w:szCs w:val="24"/>
              </w:rPr>
            </w:pP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w:t>
            </w:r>
            <w:r>
              <w:rPr>
                <w:rFonts w:ascii="仿宋" w:hAnsi="仿宋" w:eastAsia="仿宋" w:cs="宋体"/>
                <w:sz w:val="24"/>
                <w:szCs w:val="24"/>
              </w:rPr>
              <w:t>0</w:t>
            </w:r>
            <w:r>
              <w:rPr>
                <w:rFonts w:hint="eastAsia" w:ascii="仿宋" w:hAnsi="仿宋" w:eastAsia="仿宋" w:cs="宋体"/>
                <w:sz w:val="24"/>
                <w:szCs w:val="24"/>
              </w:rPr>
              <w:t>）安全运维管理</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安全运维管理测评是为了了解系统运维管理过程中的安全控制情况，主要涉及安全主管人员、安全管理人员、各类运维人员、各类管理制度、操作规程文件、执行过程记录等对象。在内容上，安全运维管理测评实施过程涉及的工作单元，具体如下表：</w:t>
            </w:r>
          </w:p>
          <w:p>
            <w:pPr>
              <w:spacing w:before="236" w:beforeLines="50" w:after="236" w:afterLines="50" w:line="276" w:lineRule="auto"/>
              <w:ind w:firstLine="360" w:firstLineChars="150"/>
              <w:jc w:val="center"/>
              <w:rPr>
                <w:rFonts w:ascii="仿宋" w:hAnsi="仿宋" w:eastAsia="仿宋" w:cs="宋体"/>
                <w:sz w:val="24"/>
                <w:szCs w:val="24"/>
              </w:rPr>
            </w:pPr>
            <w:r>
              <w:rPr>
                <w:rFonts w:hint="eastAsia" w:ascii="仿宋" w:hAnsi="仿宋" w:eastAsia="仿宋" w:cs="宋体"/>
                <w:sz w:val="24"/>
                <w:szCs w:val="24"/>
              </w:rPr>
              <w:t>表</w:t>
            </w:r>
            <w:r>
              <w:rPr>
                <w:rFonts w:ascii="仿宋" w:hAnsi="仿宋" w:eastAsia="仿宋" w:cs="宋体"/>
                <w:sz w:val="24"/>
                <w:szCs w:val="24"/>
              </w:rPr>
              <w:t>10</w:t>
            </w:r>
            <w:r>
              <w:rPr>
                <w:rFonts w:hint="eastAsia" w:ascii="仿宋" w:hAnsi="仿宋" w:eastAsia="仿宋" w:cs="宋体"/>
                <w:sz w:val="24"/>
                <w:szCs w:val="24"/>
              </w:rPr>
              <w:t>安全运维管理测评内容</w:t>
            </w:r>
          </w:p>
          <w:tbl>
            <w:tblPr>
              <w:tblStyle w:val="20"/>
              <w:tblW w:w="7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43"/>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00" w:type="dxa"/>
                  <w:shd w:val="clear" w:color="000000" w:fill="FFFFFF"/>
                  <w:vAlign w:val="center"/>
                </w:tcPr>
                <w:p>
                  <w:pPr>
                    <w:rPr>
                      <w:rFonts w:ascii="仿宋" w:hAnsi="仿宋" w:eastAsia="仿宋" w:cs="宋体"/>
                      <w:b/>
                      <w:bCs/>
                      <w:sz w:val="24"/>
                      <w:szCs w:val="24"/>
                    </w:rPr>
                  </w:pPr>
                  <w:r>
                    <w:rPr>
                      <w:rFonts w:hint="eastAsia" w:ascii="仿宋" w:hAnsi="仿宋" w:eastAsia="仿宋" w:cs="宋体"/>
                      <w:b/>
                      <w:bCs/>
                      <w:sz w:val="24"/>
                      <w:szCs w:val="24"/>
                    </w:rPr>
                    <w:t>序号</w:t>
                  </w:r>
                </w:p>
              </w:tc>
              <w:tc>
                <w:tcPr>
                  <w:tcW w:w="1843" w:type="dxa"/>
                  <w:shd w:val="clear" w:color="000000" w:fill="FFFFFF"/>
                  <w:vAlign w:val="center"/>
                </w:tcPr>
                <w:p>
                  <w:pPr>
                    <w:jc w:val="center"/>
                    <w:rPr>
                      <w:rFonts w:ascii="仿宋" w:hAnsi="仿宋" w:eastAsia="仿宋" w:cs="宋体"/>
                      <w:b/>
                      <w:bCs/>
                      <w:sz w:val="24"/>
                      <w:szCs w:val="24"/>
                    </w:rPr>
                  </w:pPr>
                  <w:r>
                    <w:rPr>
                      <w:rFonts w:hint="eastAsia" w:ascii="仿宋" w:hAnsi="仿宋" w:eastAsia="仿宋" w:cs="宋体"/>
                      <w:b/>
                      <w:bCs/>
                      <w:sz w:val="24"/>
                      <w:szCs w:val="24"/>
                    </w:rPr>
                    <w:t>工作单元名称</w:t>
                  </w:r>
                </w:p>
              </w:tc>
              <w:tc>
                <w:tcPr>
                  <w:tcW w:w="4495" w:type="dxa"/>
                  <w:shd w:val="clear" w:color="000000" w:fill="FFFFFF"/>
                  <w:vAlign w:val="center"/>
                </w:tcPr>
                <w:p>
                  <w:pPr>
                    <w:jc w:val="center"/>
                    <w:rPr>
                      <w:rFonts w:ascii="仿宋" w:hAnsi="仿宋" w:eastAsia="仿宋" w:cs="宋体"/>
                      <w:b/>
                      <w:bCs/>
                      <w:sz w:val="24"/>
                      <w:szCs w:val="24"/>
                    </w:rPr>
                  </w:pPr>
                  <w:r>
                    <w:rPr>
                      <w:rFonts w:hint="eastAsia" w:ascii="仿宋" w:hAnsi="仿宋" w:eastAsia="仿宋" w:cs="宋体"/>
                      <w:b/>
                      <w:bCs/>
                      <w:sz w:val="24"/>
                      <w:szCs w:val="24"/>
                    </w:rPr>
                    <w:t>工作单元描述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00" w:type="dxa"/>
                  <w:vAlign w:val="center"/>
                </w:tcPr>
                <w:p>
                  <w:pPr>
                    <w:jc w:val="center"/>
                    <w:rPr>
                      <w:rFonts w:ascii="仿宋" w:hAnsi="仿宋" w:eastAsia="仿宋" w:cs="宋体"/>
                      <w:sz w:val="24"/>
                      <w:szCs w:val="24"/>
                    </w:rPr>
                  </w:pPr>
                  <w:r>
                    <w:rPr>
                      <w:rFonts w:ascii="仿宋" w:hAnsi="仿宋" w:eastAsia="仿宋" w:cs="宋体"/>
                      <w:sz w:val="24"/>
                      <w:szCs w:val="24"/>
                    </w:rPr>
                    <w:t>1</w:t>
                  </w:r>
                </w:p>
              </w:tc>
              <w:tc>
                <w:tcPr>
                  <w:tcW w:w="1843" w:type="dxa"/>
                  <w:vAlign w:val="center"/>
                </w:tcPr>
                <w:p>
                  <w:pPr>
                    <w:jc w:val="center"/>
                    <w:rPr>
                      <w:rFonts w:ascii="仿宋" w:hAnsi="仿宋" w:eastAsia="仿宋" w:cs="宋体"/>
                      <w:sz w:val="24"/>
                      <w:szCs w:val="24"/>
                    </w:rPr>
                  </w:pPr>
                  <w:r>
                    <w:rPr>
                      <w:rFonts w:hint="eastAsia" w:ascii="仿宋" w:hAnsi="仿宋" w:eastAsia="仿宋"/>
                      <w:sz w:val="24"/>
                      <w:szCs w:val="24"/>
                    </w:rPr>
                    <w:t>环境管理</w:t>
                  </w:r>
                </w:p>
              </w:tc>
              <w:tc>
                <w:tcPr>
                  <w:tcW w:w="4495" w:type="dxa"/>
                  <w:vAlign w:val="center"/>
                </w:tcPr>
                <w:p>
                  <w:pPr>
                    <w:rPr>
                      <w:rFonts w:ascii="仿宋" w:hAnsi="仿宋" w:eastAsia="仿宋" w:cs="Arial"/>
                      <w:snapToGrid w:val="0"/>
                      <w:sz w:val="24"/>
                      <w:szCs w:val="24"/>
                    </w:rPr>
                  </w:pPr>
                  <w:r>
                    <w:rPr>
                      <w:rFonts w:hint="eastAsia" w:ascii="仿宋" w:hAnsi="仿宋" w:eastAsia="仿宋" w:cs="宋体"/>
                      <w:sz w:val="24"/>
                      <w:szCs w:val="24"/>
                    </w:rPr>
                    <w:t>检查机房安全管理制度，机房和办公环境等过程，测评是否采取必要的措施对机房的出入控制以及办公环境的人员行为等方面进行安全管理。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00" w:type="dxa"/>
                  <w:vAlign w:val="center"/>
                </w:tcPr>
                <w:p>
                  <w:pPr>
                    <w:jc w:val="center"/>
                    <w:rPr>
                      <w:rFonts w:ascii="仿宋" w:hAnsi="仿宋" w:eastAsia="仿宋" w:cs="宋体"/>
                      <w:sz w:val="24"/>
                      <w:szCs w:val="24"/>
                    </w:rPr>
                  </w:pPr>
                  <w:r>
                    <w:rPr>
                      <w:rFonts w:ascii="仿宋" w:hAnsi="仿宋" w:eastAsia="仿宋" w:cs="宋体"/>
                      <w:sz w:val="24"/>
                      <w:szCs w:val="24"/>
                    </w:rPr>
                    <w:t>2</w:t>
                  </w:r>
                </w:p>
              </w:tc>
              <w:tc>
                <w:tcPr>
                  <w:tcW w:w="1843" w:type="dxa"/>
                  <w:vAlign w:val="center"/>
                </w:tcPr>
                <w:p>
                  <w:pPr>
                    <w:jc w:val="center"/>
                    <w:rPr>
                      <w:rFonts w:ascii="仿宋" w:hAnsi="仿宋" w:eastAsia="仿宋" w:cs="宋体"/>
                      <w:sz w:val="24"/>
                      <w:szCs w:val="24"/>
                    </w:rPr>
                  </w:pPr>
                  <w:r>
                    <w:rPr>
                      <w:rFonts w:hint="eastAsia" w:ascii="仿宋" w:hAnsi="仿宋" w:eastAsia="仿宋"/>
                      <w:sz w:val="24"/>
                      <w:szCs w:val="24"/>
                    </w:rPr>
                    <w:t>资产管理</w:t>
                  </w:r>
                </w:p>
              </w:tc>
              <w:tc>
                <w:tcPr>
                  <w:tcW w:w="4495" w:type="dxa"/>
                  <w:vAlign w:val="center"/>
                </w:tcPr>
                <w:p>
                  <w:pPr>
                    <w:rPr>
                      <w:rFonts w:ascii="仿宋" w:hAnsi="仿宋" w:eastAsia="仿宋" w:cs="Arial"/>
                      <w:snapToGrid w:val="0"/>
                      <w:sz w:val="24"/>
                      <w:szCs w:val="24"/>
                      <w:lang w:eastAsia="zh-TW"/>
                    </w:rPr>
                  </w:pPr>
                  <w:r>
                    <w:rPr>
                      <w:rFonts w:hint="eastAsia" w:ascii="仿宋" w:hAnsi="仿宋" w:eastAsia="仿宋" w:cs="宋体"/>
                      <w:sz w:val="24"/>
                      <w:szCs w:val="24"/>
                    </w:rPr>
                    <w:t>检查资产清单，检查系统、网络设备等过程，测评是否采取必要的措施对系统的资产进行分类标识管理。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 w:type="dxa"/>
                  <w:vAlign w:val="center"/>
                </w:tcPr>
                <w:p>
                  <w:pPr>
                    <w:jc w:val="center"/>
                    <w:rPr>
                      <w:rFonts w:ascii="仿宋" w:hAnsi="仿宋" w:eastAsia="仿宋" w:cs="宋体"/>
                      <w:sz w:val="24"/>
                      <w:szCs w:val="24"/>
                    </w:rPr>
                  </w:pPr>
                  <w:r>
                    <w:rPr>
                      <w:rFonts w:ascii="仿宋" w:hAnsi="仿宋" w:eastAsia="仿宋" w:cs="宋体"/>
                      <w:sz w:val="24"/>
                      <w:szCs w:val="24"/>
                    </w:rPr>
                    <w:t>3</w:t>
                  </w:r>
                </w:p>
              </w:tc>
              <w:tc>
                <w:tcPr>
                  <w:tcW w:w="1843" w:type="dxa"/>
                  <w:vAlign w:val="center"/>
                </w:tcPr>
                <w:p>
                  <w:pPr>
                    <w:jc w:val="center"/>
                    <w:rPr>
                      <w:rFonts w:ascii="仿宋" w:hAnsi="仿宋" w:eastAsia="仿宋" w:cs="宋体"/>
                      <w:sz w:val="24"/>
                      <w:szCs w:val="24"/>
                    </w:rPr>
                  </w:pPr>
                  <w:r>
                    <w:rPr>
                      <w:rFonts w:hint="eastAsia" w:ascii="仿宋" w:hAnsi="仿宋" w:eastAsia="仿宋"/>
                      <w:sz w:val="24"/>
                      <w:szCs w:val="24"/>
                    </w:rPr>
                    <w:t>介质管理</w:t>
                  </w:r>
                </w:p>
              </w:tc>
              <w:tc>
                <w:tcPr>
                  <w:tcW w:w="4495" w:type="dxa"/>
                  <w:vAlign w:val="center"/>
                </w:tcPr>
                <w:p>
                  <w:pPr>
                    <w:rPr>
                      <w:rFonts w:ascii="仿宋" w:hAnsi="仿宋" w:eastAsia="仿宋" w:cs="Arial"/>
                      <w:snapToGrid w:val="0"/>
                      <w:sz w:val="24"/>
                      <w:szCs w:val="24"/>
                      <w:lang w:eastAsia="zh-TW"/>
                    </w:rPr>
                  </w:pPr>
                  <w:r>
                    <w:rPr>
                      <w:rFonts w:hint="eastAsia" w:ascii="仿宋" w:hAnsi="仿宋" w:eastAsia="仿宋" w:cs="宋体"/>
                      <w:sz w:val="24"/>
                      <w:szCs w:val="24"/>
                    </w:rPr>
                    <w:t>检查介质管理记录和各类介质等过程，测评是否采取必要的措施对介质存放环境、使用、维护和销毁等方面进行管理。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 w:type="dxa"/>
                  <w:vAlign w:val="center"/>
                </w:tcPr>
                <w:p>
                  <w:pPr>
                    <w:jc w:val="center"/>
                    <w:rPr>
                      <w:rFonts w:ascii="仿宋" w:hAnsi="仿宋" w:eastAsia="仿宋" w:cs="宋体"/>
                      <w:sz w:val="24"/>
                      <w:szCs w:val="24"/>
                    </w:rPr>
                  </w:pPr>
                  <w:r>
                    <w:rPr>
                      <w:rFonts w:hint="eastAsia" w:ascii="仿宋" w:hAnsi="仿宋" w:eastAsia="仿宋" w:cs="宋体"/>
                      <w:sz w:val="24"/>
                      <w:szCs w:val="24"/>
                    </w:rPr>
                    <w:t>4</w:t>
                  </w:r>
                </w:p>
              </w:tc>
              <w:tc>
                <w:tcPr>
                  <w:tcW w:w="1843" w:type="dxa"/>
                  <w:vAlign w:val="center"/>
                </w:tcPr>
                <w:p>
                  <w:pPr>
                    <w:jc w:val="center"/>
                    <w:rPr>
                      <w:rFonts w:ascii="仿宋" w:hAnsi="仿宋" w:eastAsia="仿宋" w:cs="Arial"/>
                      <w:snapToGrid w:val="0"/>
                      <w:sz w:val="24"/>
                      <w:szCs w:val="24"/>
                      <w:lang w:eastAsia="zh-TW"/>
                    </w:rPr>
                  </w:pPr>
                  <w:r>
                    <w:rPr>
                      <w:rFonts w:hint="eastAsia" w:ascii="仿宋" w:hAnsi="仿宋" w:eastAsia="仿宋"/>
                      <w:sz w:val="24"/>
                      <w:szCs w:val="24"/>
                    </w:rPr>
                    <w:t>设备维护管理</w:t>
                  </w:r>
                </w:p>
              </w:tc>
              <w:tc>
                <w:tcPr>
                  <w:tcW w:w="4495" w:type="dxa"/>
                  <w:vAlign w:val="center"/>
                </w:tcPr>
                <w:p>
                  <w:pPr>
                    <w:rPr>
                      <w:rFonts w:ascii="仿宋" w:hAnsi="仿宋" w:eastAsia="仿宋" w:cs="Arial"/>
                      <w:snapToGrid w:val="0"/>
                      <w:sz w:val="24"/>
                      <w:szCs w:val="24"/>
                      <w:lang w:eastAsia="zh-TW"/>
                    </w:rPr>
                  </w:pPr>
                  <w:r>
                    <w:rPr>
                      <w:rFonts w:hint="eastAsia" w:ascii="仿宋" w:hAnsi="仿宋" w:eastAsia="仿宋" w:cs="宋体"/>
                      <w:sz w:val="24"/>
                      <w:szCs w:val="24"/>
                    </w:rPr>
                    <w:t>检查设备使用管理文档和设备操作规程等过程，测评是否采取必要的措施确保设备在使用、维护和销毁等过程安全。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 w:type="dxa"/>
                  <w:vAlign w:val="center"/>
                </w:tcPr>
                <w:p>
                  <w:pPr>
                    <w:jc w:val="center"/>
                    <w:rPr>
                      <w:rFonts w:ascii="仿宋" w:hAnsi="仿宋" w:eastAsia="仿宋" w:cs="宋体"/>
                      <w:sz w:val="24"/>
                      <w:szCs w:val="24"/>
                    </w:rPr>
                  </w:pPr>
                  <w:r>
                    <w:rPr>
                      <w:rFonts w:hint="eastAsia" w:ascii="仿宋" w:hAnsi="仿宋" w:eastAsia="仿宋" w:cs="宋体"/>
                      <w:sz w:val="24"/>
                      <w:szCs w:val="24"/>
                    </w:rPr>
                    <w:t>5</w:t>
                  </w:r>
                </w:p>
              </w:tc>
              <w:tc>
                <w:tcPr>
                  <w:tcW w:w="1843" w:type="dxa"/>
                  <w:vAlign w:val="center"/>
                </w:tcPr>
                <w:p>
                  <w:pPr>
                    <w:jc w:val="center"/>
                    <w:rPr>
                      <w:rFonts w:ascii="仿宋" w:hAnsi="仿宋" w:eastAsia="仿宋" w:cs="Arial"/>
                      <w:snapToGrid w:val="0"/>
                      <w:sz w:val="24"/>
                      <w:szCs w:val="24"/>
                      <w:lang w:eastAsia="zh-TW"/>
                    </w:rPr>
                  </w:pPr>
                  <w:r>
                    <w:rPr>
                      <w:rFonts w:hint="eastAsia" w:ascii="仿宋" w:hAnsi="仿宋" w:eastAsia="仿宋"/>
                      <w:sz w:val="24"/>
                      <w:szCs w:val="24"/>
                    </w:rPr>
                    <w:t>漏洞和风险管理</w:t>
                  </w:r>
                </w:p>
              </w:tc>
              <w:tc>
                <w:tcPr>
                  <w:tcW w:w="4495" w:type="dxa"/>
                  <w:vAlign w:val="center"/>
                </w:tcPr>
                <w:p>
                  <w:pP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检查系统对于漏洞和安全隐患风险的管理，是否有报告、记录等文档，是否定期开展安全测评等。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 w:type="dxa"/>
                  <w:vAlign w:val="center"/>
                </w:tcPr>
                <w:p>
                  <w:pPr>
                    <w:jc w:val="center"/>
                    <w:rPr>
                      <w:rFonts w:ascii="仿宋" w:hAnsi="仿宋" w:eastAsia="仿宋" w:cs="宋体"/>
                      <w:sz w:val="24"/>
                      <w:szCs w:val="24"/>
                    </w:rPr>
                  </w:pPr>
                  <w:r>
                    <w:rPr>
                      <w:rFonts w:hint="eastAsia" w:ascii="仿宋" w:hAnsi="仿宋" w:eastAsia="仿宋" w:cs="宋体"/>
                      <w:sz w:val="24"/>
                      <w:szCs w:val="24"/>
                    </w:rPr>
                    <w:t>6</w:t>
                  </w:r>
                </w:p>
              </w:tc>
              <w:tc>
                <w:tcPr>
                  <w:tcW w:w="1843" w:type="dxa"/>
                  <w:vAlign w:val="center"/>
                </w:tcPr>
                <w:p>
                  <w:pPr>
                    <w:jc w:val="center"/>
                    <w:rPr>
                      <w:rFonts w:ascii="仿宋" w:hAnsi="仿宋" w:eastAsia="仿宋" w:cs="Arial"/>
                      <w:snapToGrid w:val="0"/>
                      <w:sz w:val="24"/>
                      <w:szCs w:val="24"/>
                      <w:lang w:eastAsia="zh-TW"/>
                    </w:rPr>
                  </w:pPr>
                  <w:r>
                    <w:rPr>
                      <w:rFonts w:hint="eastAsia" w:ascii="仿宋" w:hAnsi="仿宋" w:eastAsia="仿宋"/>
                      <w:sz w:val="24"/>
                      <w:szCs w:val="24"/>
                    </w:rPr>
                    <w:t>网络和系统安全管理</w:t>
                  </w:r>
                </w:p>
              </w:tc>
              <w:tc>
                <w:tcPr>
                  <w:tcW w:w="4495" w:type="dxa"/>
                  <w:vAlign w:val="center"/>
                </w:tcPr>
                <w:p>
                  <w:pP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检查系统和网络的安全管理文档，是否明确了角色划分、权限划分，是否覆盖安全策略、账户管理、配置文件的生成及备份、变更审批等内容；检查运维操作日志是否覆盖网络和系统的日常巡检、运行维护、参数的设置和修 改等内容；核查是否具有对日志、监测和报警数据等进行分析统计的报告；核查开通远程运维的审批记录，核查针对远程运维的审计日志是否不可以更改等。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 w:type="dxa"/>
                  <w:vAlign w:val="center"/>
                </w:tcPr>
                <w:p>
                  <w:pPr>
                    <w:jc w:val="center"/>
                    <w:rPr>
                      <w:rFonts w:ascii="仿宋" w:hAnsi="仿宋" w:eastAsia="仿宋" w:cs="宋体"/>
                      <w:sz w:val="24"/>
                      <w:szCs w:val="24"/>
                    </w:rPr>
                  </w:pPr>
                  <w:r>
                    <w:rPr>
                      <w:rFonts w:hint="eastAsia" w:ascii="仿宋" w:hAnsi="仿宋" w:eastAsia="仿宋" w:cs="宋体"/>
                      <w:sz w:val="24"/>
                      <w:szCs w:val="24"/>
                    </w:rPr>
                    <w:t>7</w:t>
                  </w:r>
                </w:p>
              </w:tc>
              <w:tc>
                <w:tcPr>
                  <w:tcW w:w="1843" w:type="dxa"/>
                  <w:vAlign w:val="center"/>
                </w:tcPr>
                <w:p>
                  <w:pPr>
                    <w:jc w:val="center"/>
                    <w:rPr>
                      <w:rFonts w:ascii="仿宋" w:hAnsi="仿宋" w:eastAsia="仿宋" w:cs="Arial"/>
                      <w:snapToGrid w:val="0"/>
                      <w:sz w:val="24"/>
                      <w:szCs w:val="24"/>
                      <w:lang w:eastAsia="zh-TW"/>
                    </w:rPr>
                  </w:pPr>
                  <w:r>
                    <w:rPr>
                      <w:rFonts w:hint="eastAsia" w:ascii="仿宋" w:hAnsi="仿宋" w:eastAsia="仿宋"/>
                      <w:sz w:val="24"/>
                      <w:szCs w:val="24"/>
                    </w:rPr>
                    <w:t>恶意代码防范管理</w:t>
                  </w:r>
                </w:p>
              </w:tc>
              <w:tc>
                <w:tcPr>
                  <w:tcW w:w="4495" w:type="dxa"/>
                  <w:vAlign w:val="center"/>
                </w:tcPr>
                <w:p>
                  <w:pPr>
                    <w:rPr>
                      <w:rFonts w:ascii="仿宋" w:hAnsi="仿宋" w:eastAsia="仿宋" w:cs="Arial"/>
                      <w:snapToGrid w:val="0"/>
                      <w:sz w:val="24"/>
                      <w:szCs w:val="24"/>
                      <w:lang w:eastAsia="zh-TW"/>
                    </w:rPr>
                  </w:pPr>
                  <w:r>
                    <w:rPr>
                      <w:rFonts w:hint="eastAsia" w:ascii="仿宋" w:hAnsi="仿宋" w:eastAsia="仿宋" w:cs="宋体"/>
                      <w:sz w:val="24"/>
                      <w:szCs w:val="24"/>
                    </w:rPr>
                    <w:t>检查恶意代码防范管理文档和恶意代码检测记录等过程，测评是否采取必要的措施对恶意代码进行有效管理，确保系统具有恶意代码防范能力。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 w:type="dxa"/>
                  <w:vAlign w:val="center"/>
                </w:tcPr>
                <w:p>
                  <w:pPr>
                    <w:jc w:val="center"/>
                    <w:rPr>
                      <w:rFonts w:ascii="仿宋" w:hAnsi="仿宋" w:eastAsia="仿宋" w:cs="宋体"/>
                      <w:sz w:val="24"/>
                      <w:szCs w:val="24"/>
                    </w:rPr>
                  </w:pPr>
                  <w:r>
                    <w:rPr>
                      <w:rFonts w:hint="eastAsia" w:ascii="仿宋" w:hAnsi="仿宋" w:eastAsia="仿宋" w:cs="宋体"/>
                      <w:sz w:val="24"/>
                      <w:szCs w:val="24"/>
                    </w:rPr>
                    <w:t>8</w:t>
                  </w:r>
                </w:p>
              </w:tc>
              <w:tc>
                <w:tcPr>
                  <w:tcW w:w="1843" w:type="dxa"/>
                  <w:vAlign w:val="center"/>
                </w:tcPr>
                <w:p>
                  <w:pPr>
                    <w:jc w:val="center"/>
                    <w:rPr>
                      <w:rFonts w:ascii="仿宋" w:hAnsi="仿宋" w:eastAsia="仿宋" w:cs="Arial"/>
                      <w:snapToGrid w:val="0"/>
                      <w:sz w:val="24"/>
                      <w:szCs w:val="24"/>
                      <w:lang w:eastAsia="zh-TW"/>
                    </w:rPr>
                  </w:pPr>
                  <w:r>
                    <w:rPr>
                      <w:rFonts w:hint="eastAsia" w:ascii="仿宋" w:hAnsi="仿宋" w:eastAsia="仿宋"/>
                      <w:sz w:val="24"/>
                      <w:szCs w:val="24"/>
                    </w:rPr>
                    <w:t>配置管理</w:t>
                  </w:r>
                </w:p>
              </w:tc>
              <w:tc>
                <w:tcPr>
                  <w:tcW w:w="4495" w:type="dxa"/>
                  <w:vAlign w:val="center"/>
                </w:tcPr>
                <w:p>
                  <w:pPr>
                    <w:rPr>
                      <w:rFonts w:ascii="仿宋" w:hAnsi="仿宋" w:eastAsia="仿宋" w:cs="宋体"/>
                      <w:sz w:val="24"/>
                      <w:szCs w:val="24"/>
                    </w:rPr>
                  </w:pPr>
                  <w:r>
                    <w:rPr>
                      <w:rFonts w:hint="eastAsia" w:ascii="仿宋" w:hAnsi="仿宋" w:eastAsia="仿宋" w:cs="宋体"/>
                      <w:sz w:val="24"/>
                      <w:szCs w:val="24"/>
                    </w:rPr>
                    <w:t>检查是否对基本配置信息进行记录和保存，基本配置信息改变后是否及时更新基本配置信息库等。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 w:type="dxa"/>
                  <w:vAlign w:val="center"/>
                </w:tcPr>
                <w:p>
                  <w:pPr>
                    <w:jc w:val="center"/>
                    <w:rPr>
                      <w:rFonts w:ascii="仿宋" w:hAnsi="仿宋" w:eastAsia="仿宋" w:cs="宋体"/>
                      <w:sz w:val="24"/>
                      <w:szCs w:val="24"/>
                    </w:rPr>
                  </w:pPr>
                  <w:r>
                    <w:rPr>
                      <w:rFonts w:hint="eastAsia" w:ascii="仿宋" w:hAnsi="仿宋" w:eastAsia="仿宋" w:cs="宋体"/>
                      <w:sz w:val="24"/>
                      <w:szCs w:val="24"/>
                    </w:rPr>
                    <w:t>9</w:t>
                  </w:r>
                </w:p>
              </w:tc>
              <w:tc>
                <w:tcPr>
                  <w:tcW w:w="1843" w:type="dxa"/>
                  <w:vAlign w:val="center"/>
                </w:tcPr>
                <w:p>
                  <w:pPr>
                    <w:jc w:val="center"/>
                    <w:rPr>
                      <w:rFonts w:ascii="仿宋" w:hAnsi="仿宋" w:eastAsia="仿宋" w:cs="Arial"/>
                      <w:snapToGrid w:val="0"/>
                      <w:sz w:val="24"/>
                      <w:szCs w:val="24"/>
                      <w:lang w:eastAsia="zh-TW"/>
                    </w:rPr>
                  </w:pPr>
                  <w:r>
                    <w:rPr>
                      <w:rFonts w:hint="eastAsia" w:ascii="仿宋" w:hAnsi="仿宋" w:eastAsia="仿宋"/>
                      <w:sz w:val="24"/>
                      <w:szCs w:val="24"/>
                    </w:rPr>
                    <w:t>密码管理</w:t>
                  </w:r>
                </w:p>
              </w:tc>
              <w:tc>
                <w:tcPr>
                  <w:tcW w:w="4495" w:type="dxa"/>
                  <w:vAlign w:val="center"/>
                </w:tcPr>
                <w:p>
                  <w:pPr>
                    <w:rPr>
                      <w:rFonts w:ascii="仿宋" w:hAnsi="仿宋" w:eastAsia="仿宋" w:cs="Arial"/>
                      <w:snapToGrid w:val="0"/>
                      <w:sz w:val="24"/>
                      <w:szCs w:val="24"/>
                      <w:lang w:eastAsia="zh-TW"/>
                    </w:rPr>
                  </w:pPr>
                  <w:r>
                    <w:rPr>
                      <w:rFonts w:hint="eastAsia" w:ascii="仿宋" w:hAnsi="仿宋" w:eastAsia="仿宋" w:cs="宋体"/>
                      <w:sz w:val="24"/>
                      <w:szCs w:val="24"/>
                    </w:rPr>
                    <w:t>测评是否能够确保信息系统中密码算法和密钥的使用符合国家密码管理规定。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 w:type="dxa"/>
                  <w:vAlign w:val="center"/>
                </w:tcPr>
                <w:p>
                  <w:pPr>
                    <w:jc w:val="center"/>
                    <w:rPr>
                      <w:rFonts w:ascii="仿宋" w:hAnsi="仿宋" w:eastAsia="仿宋" w:cs="宋体"/>
                      <w:sz w:val="24"/>
                      <w:szCs w:val="24"/>
                    </w:rPr>
                  </w:pPr>
                  <w:r>
                    <w:rPr>
                      <w:rFonts w:hint="eastAsia" w:ascii="仿宋" w:hAnsi="仿宋" w:eastAsia="仿宋" w:cs="宋体"/>
                      <w:sz w:val="24"/>
                      <w:szCs w:val="24"/>
                    </w:rPr>
                    <w:t>10</w:t>
                  </w:r>
                </w:p>
              </w:tc>
              <w:tc>
                <w:tcPr>
                  <w:tcW w:w="1843" w:type="dxa"/>
                  <w:vAlign w:val="center"/>
                </w:tcPr>
                <w:p>
                  <w:pPr>
                    <w:jc w:val="center"/>
                    <w:rPr>
                      <w:rFonts w:ascii="仿宋" w:hAnsi="仿宋" w:eastAsia="仿宋" w:cs="Arial"/>
                      <w:snapToGrid w:val="0"/>
                      <w:sz w:val="24"/>
                      <w:szCs w:val="24"/>
                      <w:lang w:eastAsia="zh-TW"/>
                    </w:rPr>
                  </w:pPr>
                  <w:r>
                    <w:rPr>
                      <w:rFonts w:hint="eastAsia" w:ascii="仿宋" w:hAnsi="仿宋" w:eastAsia="仿宋"/>
                      <w:sz w:val="24"/>
                      <w:szCs w:val="24"/>
                    </w:rPr>
                    <w:t>变更管理</w:t>
                  </w:r>
                </w:p>
              </w:tc>
              <w:tc>
                <w:tcPr>
                  <w:tcW w:w="4495" w:type="dxa"/>
                  <w:vAlign w:val="center"/>
                </w:tcPr>
                <w:p>
                  <w:pPr>
                    <w:rPr>
                      <w:rFonts w:ascii="仿宋" w:hAnsi="仿宋" w:eastAsia="仿宋" w:cs="Arial"/>
                      <w:snapToGrid w:val="0"/>
                      <w:sz w:val="24"/>
                      <w:szCs w:val="24"/>
                      <w:lang w:eastAsia="zh-TW"/>
                    </w:rPr>
                  </w:pPr>
                  <w:r>
                    <w:rPr>
                      <w:rFonts w:hint="eastAsia" w:ascii="仿宋" w:hAnsi="仿宋" w:eastAsia="仿宋" w:cs="宋体"/>
                      <w:sz w:val="24"/>
                      <w:szCs w:val="24"/>
                    </w:rPr>
                    <w:t>检查变更方案和变更管理制度等过程，测评是否采取必要的措施对系统发生的变更进行有效管理。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 w:type="dxa"/>
                  <w:vAlign w:val="center"/>
                </w:tcPr>
                <w:p>
                  <w:pPr>
                    <w:jc w:val="center"/>
                    <w:rPr>
                      <w:rFonts w:ascii="仿宋" w:hAnsi="仿宋" w:eastAsia="仿宋" w:cs="宋体"/>
                      <w:sz w:val="24"/>
                      <w:szCs w:val="24"/>
                    </w:rPr>
                  </w:pPr>
                  <w:r>
                    <w:rPr>
                      <w:rFonts w:hint="eastAsia" w:ascii="仿宋" w:hAnsi="仿宋" w:eastAsia="仿宋" w:cs="宋体"/>
                      <w:sz w:val="24"/>
                      <w:szCs w:val="24"/>
                    </w:rPr>
                    <w:t>11</w:t>
                  </w:r>
                </w:p>
              </w:tc>
              <w:tc>
                <w:tcPr>
                  <w:tcW w:w="1843" w:type="dxa"/>
                  <w:vAlign w:val="center"/>
                </w:tcPr>
                <w:p>
                  <w:pPr>
                    <w:jc w:val="center"/>
                    <w:rPr>
                      <w:rFonts w:ascii="仿宋" w:hAnsi="仿宋" w:eastAsia="仿宋"/>
                      <w:sz w:val="24"/>
                      <w:szCs w:val="24"/>
                    </w:rPr>
                  </w:pPr>
                  <w:r>
                    <w:rPr>
                      <w:rFonts w:hint="eastAsia" w:ascii="仿宋" w:hAnsi="仿宋" w:eastAsia="仿宋"/>
                      <w:sz w:val="24"/>
                      <w:szCs w:val="24"/>
                    </w:rPr>
                    <w:t>备份与恢复管理</w:t>
                  </w:r>
                </w:p>
              </w:tc>
              <w:tc>
                <w:tcPr>
                  <w:tcW w:w="4495" w:type="dxa"/>
                  <w:vAlign w:val="center"/>
                </w:tcPr>
                <w:p>
                  <w:pPr>
                    <w:rPr>
                      <w:rFonts w:ascii="仿宋" w:hAnsi="仿宋" w:eastAsia="仿宋" w:cs="Arial"/>
                      <w:snapToGrid w:val="0"/>
                      <w:sz w:val="24"/>
                      <w:szCs w:val="24"/>
                      <w:lang w:eastAsia="zh-TW"/>
                    </w:rPr>
                  </w:pPr>
                  <w:r>
                    <w:rPr>
                      <w:rFonts w:hint="eastAsia" w:ascii="仿宋" w:hAnsi="仿宋" w:eastAsia="仿宋" w:cs="宋体"/>
                      <w:sz w:val="24"/>
                      <w:szCs w:val="24"/>
                    </w:rPr>
                    <w:t>检查系统备份管理文档和记录等过程，测评是否采取必要的措施对重要业务信息，系统数据和系统软件进行备份，并确保必要时能够对这些数据有效地恢复。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 w:type="dxa"/>
                  <w:vAlign w:val="center"/>
                </w:tcPr>
                <w:p>
                  <w:pPr>
                    <w:jc w:val="center"/>
                    <w:rPr>
                      <w:rFonts w:ascii="仿宋" w:hAnsi="仿宋" w:eastAsia="仿宋" w:cs="宋体"/>
                      <w:sz w:val="24"/>
                      <w:szCs w:val="24"/>
                    </w:rPr>
                  </w:pPr>
                  <w:r>
                    <w:rPr>
                      <w:rFonts w:hint="eastAsia" w:ascii="仿宋" w:hAnsi="仿宋" w:eastAsia="仿宋" w:cs="宋体"/>
                      <w:sz w:val="24"/>
                      <w:szCs w:val="24"/>
                    </w:rPr>
                    <w:t>12</w:t>
                  </w:r>
                </w:p>
              </w:tc>
              <w:tc>
                <w:tcPr>
                  <w:tcW w:w="1843" w:type="dxa"/>
                  <w:vAlign w:val="center"/>
                </w:tcPr>
                <w:p>
                  <w:pPr>
                    <w:jc w:val="center"/>
                    <w:rPr>
                      <w:rFonts w:ascii="仿宋" w:hAnsi="仿宋" w:eastAsia="仿宋"/>
                      <w:sz w:val="24"/>
                      <w:szCs w:val="24"/>
                    </w:rPr>
                  </w:pPr>
                  <w:r>
                    <w:rPr>
                      <w:rFonts w:hint="eastAsia" w:ascii="仿宋" w:hAnsi="仿宋" w:eastAsia="仿宋"/>
                      <w:sz w:val="24"/>
                      <w:szCs w:val="24"/>
                    </w:rPr>
                    <w:t>资产管理</w:t>
                  </w:r>
                </w:p>
              </w:tc>
              <w:tc>
                <w:tcPr>
                  <w:tcW w:w="4495" w:type="dxa"/>
                  <w:vAlign w:val="center"/>
                </w:tcPr>
                <w:p>
                  <w:pPr>
                    <w:rPr>
                      <w:rFonts w:ascii="仿宋" w:hAnsi="仿宋" w:eastAsia="仿宋" w:cs="Arial"/>
                      <w:snapToGrid w:val="0"/>
                      <w:sz w:val="24"/>
                      <w:szCs w:val="24"/>
                      <w:lang w:eastAsia="zh-TW"/>
                    </w:rPr>
                  </w:pPr>
                  <w:r>
                    <w:rPr>
                      <w:rFonts w:hint="eastAsia" w:ascii="仿宋" w:hAnsi="仿宋" w:eastAsia="仿宋" w:cs="Arial"/>
                      <w:snapToGrid w:val="0"/>
                      <w:sz w:val="24"/>
                      <w:szCs w:val="24"/>
                      <w:lang w:eastAsia="zh-TW"/>
                    </w:rPr>
                    <w:t>检查是否有资产清单，清单是否包括资产类别、资产责任部门、 重要程度和所处位置等内容；是否依据资产的重要程度对资产进行标识，不同类别的资产在管理措施 的选取上是否不同；核查资产管理制度是否明确资产的标识方法以及不同资产的管理措施要求。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 w:type="dxa"/>
                  <w:vAlign w:val="center"/>
                </w:tcPr>
                <w:p>
                  <w:pPr>
                    <w:jc w:val="center"/>
                    <w:rPr>
                      <w:rFonts w:ascii="仿宋" w:hAnsi="仿宋" w:eastAsia="仿宋" w:cs="宋体"/>
                      <w:sz w:val="24"/>
                      <w:szCs w:val="24"/>
                    </w:rPr>
                  </w:pPr>
                  <w:r>
                    <w:rPr>
                      <w:rFonts w:hint="eastAsia" w:ascii="仿宋" w:hAnsi="仿宋" w:eastAsia="仿宋" w:cs="宋体"/>
                      <w:sz w:val="24"/>
                      <w:szCs w:val="24"/>
                    </w:rPr>
                    <w:t>13</w:t>
                  </w:r>
                </w:p>
              </w:tc>
              <w:tc>
                <w:tcPr>
                  <w:tcW w:w="1843" w:type="dxa"/>
                  <w:vAlign w:val="center"/>
                </w:tcPr>
                <w:p>
                  <w:pPr>
                    <w:jc w:val="center"/>
                    <w:rPr>
                      <w:rFonts w:ascii="仿宋" w:hAnsi="仿宋" w:eastAsia="仿宋"/>
                      <w:sz w:val="24"/>
                      <w:szCs w:val="24"/>
                    </w:rPr>
                  </w:pPr>
                  <w:r>
                    <w:rPr>
                      <w:rFonts w:hint="eastAsia" w:ascii="仿宋" w:hAnsi="仿宋" w:eastAsia="仿宋"/>
                      <w:sz w:val="24"/>
                      <w:szCs w:val="24"/>
                    </w:rPr>
                    <w:t>应急预案管理</w:t>
                  </w:r>
                </w:p>
              </w:tc>
              <w:tc>
                <w:tcPr>
                  <w:tcW w:w="4495" w:type="dxa"/>
                  <w:vAlign w:val="center"/>
                </w:tcPr>
                <w:p>
                  <w:pPr>
                    <w:rPr>
                      <w:rFonts w:ascii="仿宋" w:hAnsi="仿宋" w:eastAsia="仿宋" w:cs="Arial"/>
                      <w:snapToGrid w:val="0"/>
                      <w:sz w:val="24"/>
                      <w:szCs w:val="24"/>
                      <w:lang w:eastAsia="zh-TW"/>
                    </w:rPr>
                  </w:pPr>
                  <w:r>
                    <w:rPr>
                      <w:rFonts w:hint="eastAsia" w:ascii="仿宋" w:hAnsi="仿宋" w:eastAsia="仿宋" w:cs="宋体"/>
                      <w:sz w:val="24"/>
                      <w:szCs w:val="24"/>
                    </w:rPr>
                    <w:t>检查应急响应预案文档等过程，测评是否针对不同安全事件制定相应的应急预案，是否对应急预案展开培训、演练和审查等。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 w:type="dxa"/>
                  <w:vAlign w:val="center"/>
                </w:tcPr>
                <w:p>
                  <w:pPr>
                    <w:jc w:val="center"/>
                    <w:rPr>
                      <w:rFonts w:ascii="仿宋" w:hAnsi="仿宋" w:eastAsia="仿宋" w:cs="宋体"/>
                      <w:sz w:val="24"/>
                      <w:szCs w:val="24"/>
                    </w:rPr>
                  </w:pPr>
                  <w:r>
                    <w:rPr>
                      <w:rFonts w:hint="eastAsia" w:ascii="仿宋" w:hAnsi="仿宋" w:eastAsia="仿宋" w:cs="宋体"/>
                      <w:sz w:val="24"/>
                      <w:szCs w:val="24"/>
                    </w:rPr>
                    <w:t>14</w:t>
                  </w:r>
                </w:p>
              </w:tc>
              <w:tc>
                <w:tcPr>
                  <w:tcW w:w="1843" w:type="dxa"/>
                  <w:vAlign w:val="center"/>
                </w:tcPr>
                <w:p>
                  <w:pPr>
                    <w:jc w:val="center"/>
                    <w:rPr>
                      <w:rFonts w:ascii="仿宋" w:hAnsi="仿宋" w:eastAsia="仿宋"/>
                      <w:sz w:val="24"/>
                      <w:szCs w:val="24"/>
                    </w:rPr>
                  </w:pPr>
                  <w:r>
                    <w:rPr>
                      <w:rFonts w:hint="eastAsia" w:ascii="仿宋" w:hAnsi="仿宋" w:eastAsia="仿宋"/>
                      <w:sz w:val="24"/>
                      <w:szCs w:val="24"/>
                    </w:rPr>
                    <w:t>外包运维管理</w:t>
                  </w:r>
                </w:p>
              </w:tc>
              <w:tc>
                <w:tcPr>
                  <w:tcW w:w="4495" w:type="dxa"/>
                  <w:vAlign w:val="center"/>
                </w:tcPr>
                <w:p>
                  <w:pPr>
                    <w:rPr>
                      <w:rFonts w:ascii="仿宋" w:hAnsi="仿宋" w:eastAsia="仿宋" w:cs="宋体"/>
                      <w:sz w:val="24"/>
                      <w:szCs w:val="24"/>
                    </w:rPr>
                  </w:pPr>
                  <w:r>
                    <w:rPr>
                      <w:rFonts w:hint="eastAsia" w:ascii="仿宋" w:hAnsi="仿宋" w:eastAsia="仿宋" w:cs="宋体"/>
                      <w:sz w:val="24"/>
                      <w:szCs w:val="24"/>
                    </w:rPr>
                    <w:t>检查外包运维服务情况，单位是否符合国家有关规定，协议是否明确约定外包运维的范围和工作内容等。</w:t>
                  </w:r>
                </w:p>
              </w:tc>
            </w:tr>
          </w:tbl>
          <w:p>
            <w:pPr>
              <w:ind w:firstLine="480" w:firstLineChars="200"/>
              <w:jc w:val="left"/>
              <w:rPr>
                <w:rFonts w:ascii="仿宋" w:hAnsi="仿宋" w:eastAsia="仿宋"/>
                <w:bCs/>
                <w:sz w:val="24"/>
                <w:szCs w:val="24"/>
              </w:rPr>
            </w:pPr>
          </w:p>
          <w:p>
            <w:pPr>
              <w:ind w:firstLine="480" w:firstLineChars="200"/>
              <w:jc w:val="left"/>
              <w:rPr>
                <w:rFonts w:ascii="仿宋" w:hAnsi="仿宋" w:eastAsia="仿宋"/>
                <w:sz w:val="24"/>
                <w:szCs w:val="24"/>
              </w:rPr>
            </w:pPr>
            <w:r>
              <w:rPr>
                <w:rFonts w:hint="eastAsia" w:ascii="仿宋" w:hAnsi="仿宋" w:eastAsia="仿宋"/>
                <w:sz w:val="24"/>
                <w:szCs w:val="24"/>
              </w:rPr>
              <w:t>3.交付产物</w:t>
            </w:r>
          </w:p>
          <w:p>
            <w:pPr>
              <w:ind w:firstLine="480" w:firstLineChars="200"/>
              <w:jc w:val="left"/>
              <w:rPr>
                <w:rFonts w:ascii="仿宋" w:hAnsi="仿宋" w:eastAsia="仿宋"/>
                <w:sz w:val="24"/>
                <w:szCs w:val="24"/>
              </w:rPr>
            </w:pPr>
            <w:r>
              <w:rPr>
                <w:rFonts w:hint="eastAsia" w:ascii="仿宋" w:hAnsi="仿宋" w:eastAsia="仿宋"/>
                <w:sz w:val="24"/>
                <w:szCs w:val="24"/>
              </w:rPr>
              <w:t>包括但不仅限于以下资料：</w:t>
            </w:r>
          </w:p>
          <w:p>
            <w:pPr>
              <w:ind w:firstLine="480" w:firstLineChars="200"/>
              <w:jc w:val="left"/>
              <w:rPr>
                <w:rFonts w:ascii="仿宋" w:hAnsi="仿宋" w:eastAsia="仿宋"/>
                <w:sz w:val="24"/>
                <w:szCs w:val="24"/>
              </w:rPr>
            </w:pPr>
            <w:r>
              <w:rPr>
                <w:rFonts w:hint="eastAsia" w:ascii="仿宋" w:hAnsi="仿宋" w:eastAsia="仿宋"/>
                <w:sz w:val="24"/>
                <w:szCs w:val="24"/>
              </w:rPr>
              <w:t>（1）★信息系统安全等级测评报告（包含整改建议）</w:t>
            </w:r>
          </w:p>
          <w:p>
            <w:pPr>
              <w:ind w:firstLine="480" w:firstLineChars="200"/>
              <w:jc w:val="left"/>
              <w:rPr>
                <w:rFonts w:ascii="仿宋" w:hAnsi="仿宋" w:eastAsia="仿宋"/>
                <w:sz w:val="24"/>
                <w:szCs w:val="24"/>
              </w:rPr>
            </w:pPr>
            <w:r>
              <w:rPr>
                <w:rFonts w:hint="eastAsia" w:ascii="仿宋" w:hAnsi="仿宋" w:eastAsia="仿宋"/>
                <w:sz w:val="24"/>
                <w:szCs w:val="24"/>
              </w:rPr>
              <w:t>（2）公安机关要求的、其他未列入的相关资料</w:t>
            </w:r>
          </w:p>
          <w:p>
            <w:pPr>
              <w:ind w:firstLine="480" w:firstLineChars="200"/>
              <w:jc w:val="lef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1663" w:type="dxa"/>
            <w:vAlign w:val="center"/>
          </w:tcPr>
          <w:p>
            <w:pPr>
              <w:spacing w:line="360" w:lineRule="exact"/>
              <w:jc w:val="center"/>
              <w:rPr>
                <w:rFonts w:hAnsi="宋体"/>
                <w:sz w:val="24"/>
                <w:szCs w:val="24"/>
              </w:rPr>
            </w:pPr>
            <w:r>
              <w:rPr>
                <w:rFonts w:hint="eastAsia" w:hAnsi="宋体"/>
                <w:sz w:val="24"/>
                <w:szCs w:val="24"/>
              </w:rPr>
              <w:t>项目其他需求</w:t>
            </w:r>
          </w:p>
        </w:tc>
        <w:tc>
          <w:tcPr>
            <w:tcW w:w="7652" w:type="dxa"/>
            <w:vAlign w:val="center"/>
          </w:tcPr>
          <w:p>
            <w:pPr>
              <w:rPr>
                <w:b/>
                <w:bCs/>
                <w:sz w:val="24"/>
                <w:szCs w:val="24"/>
              </w:rPr>
            </w:pPr>
            <w:r>
              <w:rPr>
                <w:rFonts w:hint="eastAsia"/>
                <w:b/>
                <w:bCs/>
                <w:sz w:val="24"/>
                <w:szCs w:val="24"/>
              </w:rPr>
              <w:t>项目技术、服务要求</w:t>
            </w:r>
          </w:p>
          <w:p>
            <w:pPr>
              <w:rPr>
                <w:sz w:val="24"/>
                <w:szCs w:val="24"/>
              </w:rPr>
            </w:pPr>
            <w:r>
              <w:rPr>
                <w:rFonts w:hint="eastAsia"/>
                <w:sz w:val="24"/>
                <w:szCs w:val="24"/>
              </w:rPr>
              <w:t>（1）服务时间:</w:t>
            </w:r>
            <w:r>
              <w:rPr>
                <w:sz w:val="24"/>
                <w:szCs w:val="24"/>
              </w:rPr>
              <w:t xml:space="preserve"> </w:t>
            </w:r>
            <w:r>
              <w:rPr>
                <w:rFonts w:hint="eastAsia"/>
                <w:sz w:val="24"/>
                <w:szCs w:val="24"/>
              </w:rPr>
              <w:t>合同签订之日起至取得公安部门颁发的《信息系统安全等级保护备案证明》。</w:t>
            </w:r>
          </w:p>
          <w:p>
            <w:pPr>
              <w:rPr>
                <w:sz w:val="24"/>
                <w:szCs w:val="24"/>
              </w:rPr>
            </w:pPr>
            <w:r>
              <w:rPr>
                <w:rFonts w:hint="eastAsia"/>
                <w:sz w:val="24"/>
                <w:szCs w:val="24"/>
              </w:rPr>
              <w:t>（2）服务地点:</w:t>
            </w:r>
            <w:r>
              <w:rPr>
                <w:sz w:val="24"/>
                <w:szCs w:val="24"/>
              </w:rPr>
              <w:t xml:space="preserve"> </w:t>
            </w:r>
            <w:r>
              <w:rPr>
                <w:rFonts w:hint="eastAsia"/>
                <w:sz w:val="24"/>
                <w:szCs w:val="24"/>
              </w:rPr>
              <w:t>四川铁道职业学院。</w:t>
            </w:r>
          </w:p>
          <w:p>
            <w:pPr>
              <w:rPr>
                <w:sz w:val="24"/>
                <w:szCs w:val="24"/>
              </w:rPr>
            </w:pPr>
            <w:r>
              <w:rPr>
                <w:rFonts w:hint="eastAsia"/>
                <w:sz w:val="24"/>
                <w:szCs w:val="24"/>
              </w:rPr>
              <w:t>（</w:t>
            </w:r>
            <w:r>
              <w:rPr>
                <w:sz w:val="24"/>
                <w:szCs w:val="24"/>
              </w:rPr>
              <w:t>3</w:t>
            </w:r>
            <w:r>
              <w:rPr>
                <w:rFonts w:hint="eastAsia"/>
                <w:sz w:val="24"/>
                <w:szCs w:val="24"/>
              </w:rPr>
              <w:t>）自合同签订之日起，提供一年7*24小时等级保护和网络安全咨询服务。</w:t>
            </w:r>
          </w:p>
          <w:p>
            <w:pPr>
              <w:rPr>
                <w:rFonts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1663" w:type="dxa"/>
            <w:vAlign w:val="center"/>
          </w:tcPr>
          <w:p>
            <w:pPr>
              <w:spacing w:line="360" w:lineRule="exact"/>
              <w:jc w:val="center"/>
              <w:rPr>
                <w:rFonts w:hAnsi="宋体"/>
                <w:sz w:val="24"/>
                <w:szCs w:val="24"/>
              </w:rPr>
            </w:pPr>
            <w:r>
              <w:rPr>
                <w:rFonts w:hint="eastAsia" w:hAnsi="宋体"/>
                <w:sz w:val="24"/>
                <w:szCs w:val="24"/>
              </w:rPr>
              <w:t>验收内容及标准</w:t>
            </w:r>
          </w:p>
        </w:tc>
        <w:tc>
          <w:tcPr>
            <w:tcW w:w="7652" w:type="dxa"/>
            <w:vAlign w:val="center"/>
          </w:tcPr>
          <w:p>
            <w:pPr>
              <w:rPr>
                <w:rFonts w:hAnsi="宋体"/>
                <w:sz w:val="24"/>
                <w:szCs w:val="24"/>
              </w:rPr>
            </w:pPr>
            <w:r>
              <w:rPr>
                <w:rFonts w:hint="eastAsia" w:hAnsi="宋体"/>
                <w:sz w:val="24"/>
                <w:szCs w:val="24"/>
              </w:rPr>
              <w:t>验收内容：</w:t>
            </w:r>
          </w:p>
          <w:p>
            <w:pPr>
              <w:rPr>
                <w:sz w:val="24"/>
                <w:szCs w:val="24"/>
              </w:rPr>
            </w:pPr>
            <w:r>
              <w:rPr>
                <w:rFonts w:hint="eastAsia"/>
                <w:sz w:val="24"/>
                <w:szCs w:val="24"/>
              </w:rPr>
              <w:t>完整有效的测评目标的等级测评报告、信息系统安全整改建议报告，公安机关通过相关的等级保护备案审查。</w:t>
            </w:r>
          </w:p>
          <w:p>
            <w:pPr>
              <w:rPr>
                <w:sz w:val="24"/>
                <w:szCs w:val="24"/>
              </w:rPr>
            </w:pPr>
            <w:r>
              <w:rPr>
                <w:rFonts w:hint="eastAsia"/>
                <w:sz w:val="24"/>
                <w:szCs w:val="24"/>
              </w:rPr>
              <w:t>验收标准：</w:t>
            </w:r>
          </w:p>
          <w:p>
            <w:pPr>
              <w:rPr>
                <w:sz w:val="24"/>
                <w:szCs w:val="24"/>
              </w:rPr>
            </w:pPr>
            <w:r>
              <w:rPr>
                <w:rFonts w:hint="eastAsia"/>
                <w:sz w:val="24"/>
                <w:szCs w:val="24"/>
              </w:rPr>
              <w:t>（</w:t>
            </w:r>
            <w:r>
              <w:rPr>
                <w:sz w:val="24"/>
                <w:szCs w:val="24"/>
              </w:rPr>
              <w:t>1</w:t>
            </w:r>
            <w:r>
              <w:rPr>
                <w:rFonts w:hint="eastAsia"/>
                <w:sz w:val="24"/>
                <w:szCs w:val="24"/>
              </w:rPr>
              <w:t>）等级测评报告通过公安机关审核。若不能达到审核标准，须指导学校进行安全整改，并重新完成测评，直至取通过审核。</w:t>
            </w:r>
          </w:p>
          <w:p>
            <w:pPr>
              <w:rPr>
                <w:sz w:val="24"/>
                <w:szCs w:val="24"/>
              </w:rPr>
            </w:pPr>
            <w:r>
              <w:rPr>
                <w:rFonts w:hint="eastAsia"/>
                <w:sz w:val="24"/>
                <w:szCs w:val="24"/>
              </w:rPr>
              <w:t>（</w:t>
            </w:r>
            <w:r>
              <w:rPr>
                <w:sz w:val="24"/>
                <w:szCs w:val="24"/>
              </w:rPr>
              <w:t>2</w:t>
            </w:r>
            <w:r>
              <w:rPr>
                <w:rFonts w:hint="eastAsia"/>
                <w:sz w:val="24"/>
                <w:szCs w:val="24"/>
              </w:rPr>
              <w:t>）信息系统安全整改建议报告在符合学校实际情况的条件下，详细完整，可实际操作。</w:t>
            </w:r>
          </w:p>
          <w:p>
            <w:pPr>
              <w:rPr>
                <w:sz w:val="24"/>
                <w:szCs w:val="24"/>
              </w:rPr>
            </w:pPr>
            <w:r>
              <w:rPr>
                <w:rFonts w:hint="eastAsia"/>
                <w:sz w:val="24"/>
                <w:szCs w:val="24"/>
              </w:rPr>
              <w:t>（</w:t>
            </w:r>
            <w:r>
              <w:rPr>
                <w:sz w:val="24"/>
                <w:szCs w:val="24"/>
              </w:rPr>
              <w:t>3</w:t>
            </w:r>
            <w:r>
              <w:rPr>
                <w:rFonts w:hint="eastAsia"/>
                <w:sz w:val="24"/>
                <w:szCs w:val="24"/>
              </w:rPr>
              <w:t>）取得纸质版《信息系统安全等级保护备案证明》。</w:t>
            </w:r>
          </w:p>
          <w:p>
            <w:pPr>
              <w:rPr>
                <w:sz w:val="24"/>
                <w:szCs w:val="24"/>
              </w:rPr>
            </w:pPr>
            <w:r>
              <w:rPr>
                <w:rFonts w:hint="eastAsia"/>
                <w:sz w:val="24"/>
                <w:szCs w:val="24"/>
              </w:rPr>
              <w:t>（4）存在国家强制规定或行业标准的遵照相关规定执行。</w:t>
            </w:r>
          </w:p>
          <w:p>
            <w:pPr>
              <w:rPr>
                <w:rFonts w:hAnsi="宋体"/>
                <w:sz w:val="24"/>
                <w:szCs w:val="24"/>
              </w:rPr>
            </w:pPr>
          </w:p>
        </w:tc>
      </w:tr>
    </w:tbl>
    <w:p>
      <w:pPr>
        <w:pStyle w:val="52"/>
        <w:snapToGrid w:val="0"/>
        <w:spacing w:line="360" w:lineRule="auto"/>
        <w:ind w:firstLine="0" w:firstLineChars="0"/>
        <w:jc w:val="left"/>
        <w:rPr>
          <w:rFonts w:hAnsi="宋体"/>
          <w:sz w:val="24"/>
          <w:szCs w:val="24"/>
        </w:rPr>
      </w:pPr>
    </w:p>
    <w:p>
      <w:pPr>
        <w:pStyle w:val="52"/>
        <w:snapToGrid w:val="0"/>
        <w:spacing w:line="360" w:lineRule="auto"/>
        <w:ind w:firstLine="0" w:firstLineChars="0"/>
        <w:jc w:val="left"/>
        <w:rPr>
          <w:rFonts w:hAnsi="宋体"/>
          <w:sz w:val="24"/>
          <w:szCs w:val="24"/>
        </w:rPr>
      </w:pPr>
    </w:p>
    <w:p>
      <w:pPr>
        <w:pStyle w:val="2"/>
        <w:snapToGrid w:val="0"/>
        <w:spacing w:before="0" w:after="0" w:line="240" w:lineRule="auto"/>
        <w:ind w:firstLine="3313" w:firstLineChars="1100"/>
        <w:rPr>
          <w:rFonts w:hint="eastAsia" w:hAnsi="宋体"/>
          <w:sz w:val="30"/>
          <w:szCs w:val="30"/>
        </w:rPr>
      </w:pPr>
    </w:p>
    <w:p>
      <w:pPr>
        <w:pStyle w:val="2"/>
        <w:snapToGrid w:val="0"/>
        <w:spacing w:before="0" w:after="0" w:line="240" w:lineRule="auto"/>
        <w:ind w:firstLine="3313" w:firstLineChars="1100"/>
        <w:rPr>
          <w:rFonts w:hAnsi="宋体"/>
          <w:sz w:val="30"/>
          <w:szCs w:val="30"/>
        </w:rPr>
      </w:pPr>
      <w:r>
        <w:rPr>
          <w:rFonts w:hint="eastAsia" w:hAnsi="宋体"/>
          <w:sz w:val="30"/>
          <w:szCs w:val="30"/>
        </w:rPr>
        <w:t>第五章</w:t>
      </w:r>
      <w:r>
        <w:rPr>
          <w:rFonts w:hAnsi="宋体"/>
          <w:sz w:val="30"/>
          <w:szCs w:val="30"/>
        </w:rPr>
        <w:t xml:space="preserve">  </w:t>
      </w:r>
      <w:r>
        <w:rPr>
          <w:rFonts w:hint="eastAsia" w:hAnsi="宋体"/>
          <w:sz w:val="30"/>
          <w:szCs w:val="30"/>
        </w:rPr>
        <w:t>评标办法</w:t>
      </w:r>
    </w:p>
    <w:p>
      <w:pPr>
        <w:adjustRightInd w:val="0"/>
        <w:snapToGrid w:val="0"/>
        <w:spacing w:line="360" w:lineRule="auto"/>
        <w:ind w:firstLine="481" w:firstLineChars="188"/>
        <w:jc w:val="left"/>
        <w:rPr>
          <w:rFonts w:hAnsi="宋体"/>
          <w:spacing w:val="8"/>
          <w:sz w:val="24"/>
          <w:szCs w:val="24"/>
        </w:rPr>
      </w:pPr>
      <w:r>
        <w:rPr>
          <w:rFonts w:hint="eastAsia" w:hAnsi="宋体"/>
          <w:spacing w:val="8"/>
          <w:sz w:val="24"/>
          <w:szCs w:val="24"/>
        </w:rPr>
        <w:t>一、评标办法</w:t>
      </w:r>
    </w:p>
    <w:p>
      <w:pPr>
        <w:adjustRightInd w:val="0"/>
        <w:snapToGrid w:val="0"/>
        <w:spacing w:line="360" w:lineRule="auto"/>
        <w:ind w:firstLine="481" w:firstLineChars="188"/>
        <w:jc w:val="left"/>
        <w:rPr>
          <w:rFonts w:hAnsi="宋体"/>
          <w:spacing w:val="8"/>
          <w:sz w:val="24"/>
          <w:szCs w:val="24"/>
        </w:rPr>
      </w:pPr>
      <w:r>
        <w:rPr>
          <w:rFonts w:hint="eastAsia" w:hAnsi="宋体"/>
          <w:spacing w:val="8"/>
          <w:sz w:val="24"/>
          <w:szCs w:val="24"/>
        </w:rPr>
        <w:t>本次评标采用综合评标法。</w:t>
      </w:r>
      <w:r>
        <w:rPr>
          <w:rFonts w:hAnsi="宋体"/>
          <w:spacing w:val="8"/>
          <w:sz w:val="24"/>
          <w:szCs w:val="24"/>
        </w:rPr>
        <w:t xml:space="preserve"> </w:t>
      </w:r>
    </w:p>
    <w:p>
      <w:pPr>
        <w:adjustRightInd w:val="0"/>
        <w:snapToGrid w:val="0"/>
        <w:spacing w:line="360" w:lineRule="auto"/>
        <w:ind w:firstLine="481" w:firstLineChars="188"/>
        <w:jc w:val="left"/>
        <w:rPr>
          <w:rFonts w:hAnsi="宋体"/>
          <w:spacing w:val="8"/>
          <w:sz w:val="24"/>
          <w:szCs w:val="24"/>
        </w:rPr>
      </w:pPr>
      <w:r>
        <w:rPr>
          <w:rFonts w:hint="eastAsia" w:hAnsi="宋体"/>
          <w:spacing w:val="8"/>
          <w:sz w:val="24"/>
          <w:szCs w:val="24"/>
        </w:rPr>
        <w:t>二、评分办法说明</w:t>
      </w:r>
      <w:r>
        <w:rPr>
          <w:rFonts w:hAnsi="宋体"/>
          <w:spacing w:val="8"/>
          <w:sz w:val="24"/>
          <w:szCs w:val="24"/>
        </w:rPr>
        <w:t xml:space="preserve"> </w:t>
      </w:r>
    </w:p>
    <w:p>
      <w:pPr>
        <w:adjustRightInd w:val="0"/>
        <w:snapToGrid w:val="0"/>
        <w:spacing w:line="360" w:lineRule="auto"/>
        <w:ind w:firstLine="481" w:firstLineChars="188"/>
        <w:jc w:val="left"/>
        <w:rPr>
          <w:rFonts w:hAnsi="宋体"/>
          <w:spacing w:val="8"/>
          <w:sz w:val="24"/>
          <w:szCs w:val="24"/>
        </w:rPr>
      </w:pPr>
      <w:r>
        <w:rPr>
          <w:rFonts w:hint="eastAsia" w:hAnsi="宋体"/>
          <w:spacing w:val="8"/>
          <w:sz w:val="24"/>
          <w:szCs w:val="24"/>
        </w:rPr>
        <w:t>对各投标文件采取综合评分法进行详细评审，满分为</w:t>
      </w:r>
      <w:r>
        <w:rPr>
          <w:rFonts w:hAnsi="宋体"/>
          <w:spacing w:val="8"/>
          <w:sz w:val="24"/>
          <w:szCs w:val="24"/>
        </w:rPr>
        <w:t xml:space="preserve"> 100 </w:t>
      </w:r>
      <w:r>
        <w:rPr>
          <w:rFonts w:hint="eastAsia" w:hAnsi="宋体"/>
          <w:spacing w:val="8"/>
          <w:sz w:val="24"/>
          <w:szCs w:val="24"/>
        </w:rPr>
        <w:t>分，招标主要考评因素包括综合投标报价（1</w:t>
      </w:r>
      <w:r>
        <w:rPr>
          <w:rFonts w:hAnsi="宋体"/>
          <w:spacing w:val="8"/>
          <w:sz w:val="24"/>
          <w:szCs w:val="24"/>
        </w:rPr>
        <w:t>0%</w:t>
      </w:r>
      <w:r>
        <w:rPr>
          <w:rFonts w:hint="eastAsia" w:hAnsi="宋体"/>
          <w:spacing w:val="8"/>
          <w:sz w:val="24"/>
          <w:szCs w:val="24"/>
        </w:rPr>
        <w:t>）、测评方案响应性（10%）、专业人员技术力量(48%)、履约能力（30%）、文件规范（2</w:t>
      </w:r>
      <w:r>
        <w:rPr>
          <w:rFonts w:hAnsi="宋体"/>
          <w:spacing w:val="8"/>
          <w:sz w:val="24"/>
          <w:szCs w:val="24"/>
        </w:rPr>
        <w:t>%</w:t>
      </w:r>
      <w:r>
        <w:rPr>
          <w:rFonts w:hint="eastAsia" w:hAnsi="宋体"/>
          <w:spacing w:val="8"/>
          <w:sz w:val="24"/>
          <w:szCs w:val="24"/>
        </w:rPr>
        <w:t>）五个方面，各投标人各方面的所有评价指标的得分之和就是该投标人的综合得分。</w:t>
      </w:r>
    </w:p>
    <w:p>
      <w:pPr>
        <w:adjustRightInd w:val="0"/>
        <w:snapToGrid w:val="0"/>
        <w:spacing w:line="360" w:lineRule="auto"/>
        <w:ind w:firstLine="481" w:firstLineChars="188"/>
        <w:jc w:val="left"/>
        <w:rPr>
          <w:rFonts w:ascii="仿宋_GB2312" w:eastAsia="仿宋_GB2312" w:cs="仿宋_GB2312"/>
          <w:sz w:val="28"/>
          <w:szCs w:val="28"/>
        </w:rPr>
      </w:pPr>
      <w:r>
        <w:rPr>
          <w:rFonts w:hint="eastAsia" w:hAnsi="宋体"/>
          <w:spacing w:val="8"/>
          <w:sz w:val="24"/>
          <w:szCs w:val="24"/>
        </w:rPr>
        <w:t>详细评分标准如下表：</w:t>
      </w:r>
      <w:r>
        <w:rPr>
          <w:rFonts w:ascii="仿宋_GB2312" w:eastAsia="仿宋_GB2312" w:cs="仿宋_GB2312"/>
          <w:sz w:val="28"/>
          <w:szCs w:val="28"/>
        </w:rPr>
        <w:t xml:space="preserve"> </w:t>
      </w:r>
    </w:p>
    <w:tbl>
      <w:tblPr>
        <w:tblStyle w:val="20"/>
        <w:tblW w:w="8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544"/>
        <w:gridCol w:w="698"/>
        <w:gridCol w:w="4507"/>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59" w:type="dxa"/>
            <w:vAlign w:val="center"/>
          </w:tcPr>
          <w:p>
            <w:pPr>
              <w:spacing w:line="276" w:lineRule="auto"/>
              <w:jc w:val="center"/>
              <w:rPr>
                <w:rFonts w:hAnsi="宋体" w:cs="Arial"/>
                <w:sz w:val="18"/>
                <w:szCs w:val="18"/>
              </w:rPr>
            </w:pPr>
            <w:bookmarkStart w:id="98" w:name="OLE_LINK1"/>
            <w:bookmarkStart w:id="99" w:name="OLE_LINK2"/>
            <w:r>
              <w:rPr>
                <w:rFonts w:hint="eastAsia" w:hAnsi="宋体" w:cs="Arial"/>
                <w:sz w:val="18"/>
                <w:szCs w:val="18"/>
              </w:rPr>
              <w:t>序号</w:t>
            </w:r>
          </w:p>
        </w:tc>
        <w:tc>
          <w:tcPr>
            <w:tcW w:w="1544" w:type="dxa"/>
            <w:vAlign w:val="center"/>
          </w:tcPr>
          <w:p>
            <w:pPr>
              <w:spacing w:line="276" w:lineRule="auto"/>
              <w:jc w:val="center"/>
              <w:rPr>
                <w:rFonts w:hAnsi="宋体" w:cs="Arial"/>
                <w:sz w:val="18"/>
                <w:szCs w:val="18"/>
              </w:rPr>
            </w:pPr>
            <w:r>
              <w:rPr>
                <w:rFonts w:hint="eastAsia" w:hAnsi="宋体" w:cs="Arial"/>
                <w:sz w:val="18"/>
                <w:szCs w:val="18"/>
              </w:rPr>
              <w:t>评分因素及权重</w:t>
            </w:r>
          </w:p>
        </w:tc>
        <w:tc>
          <w:tcPr>
            <w:tcW w:w="698" w:type="dxa"/>
            <w:vAlign w:val="center"/>
          </w:tcPr>
          <w:p>
            <w:pPr>
              <w:spacing w:line="276" w:lineRule="auto"/>
              <w:jc w:val="center"/>
              <w:rPr>
                <w:rFonts w:hAnsi="宋体" w:cs="Arial"/>
                <w:sz w:val="18"/>
                <w:szCs w:val="18"/>
              </w:rPr>
            </w:pPr>
            <w:r>
              <w:rPr>
                <w:rFonts w:hint="eastAsia" w:hAnsi="宋体" w:cs="Arial"/>
                <w:sz w:val="18"/>
                <w:szCs w:val="18"/>
              </w:rPr>
              <w:t>分值</w:t>
            </w:r>
          </w:p>
        </w:tc>
        <w:tc>
          <w:tcPr>
            <w:tcW w:w="4507" w:type="dxa"/>
            <w:vAlign w:val="center"/>
          </w:tcPr>
          <w:p>
            <w:pPr>
              <w:spacing w:line="276" w:lineRule="auto"/>
              <w:jc w:val="center"/>
              <w:rPr>
                <w:rFonts w:hAnsi="宋体" w:cs="Arial"/>
                <w:sz w:val="18"/>
                <w:szCs w:val="18"/>
              </w:rPr>
            </w:pPr>
            <w:r>
              <w:rPr>
                <w:rFonts w:hint="eastAsia" w:hAnsi="宋体" w:cs="Arial"/>
                <w:sz w:val="18"/>
                <w:szCs w:val="18"/>
              </w:rPr>
              <w:t>评分标准</w:t>
            </w:r>
          </w:p>
        </w:tc>
        <w:tc>
          <w:tcPr>
            <w:tcW w:w="1049" w:type="dxa"/>
            <w:vAlign w:val="center"/>
          </w:tcPr>
          <w:p>
            <w:pPr>
              <w:spacing w:line="276" w:lineRule="auto"/>
              <w:jc w:val="center"/>
              <w:rPr>
                <w:rFonts w:hAnsi="宋体" w:cs="Arial"/>
                <w:sz w:val="18"/>
                <w:szCs w:val="18"/>
              </w:rPr>
            </w:pPr>
            <w:r>
              <w:rPr>
                <w:rFonts w:hint="eastAsia" w:hAnsi="宋体" w:cs="Arial"/>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59" w:type="dxa"/>
            <w:vAlign w:val="center"/>
          </w:tcPr>
          <w:p>
            <w:pPr>
              <w:rPr>
                <w:rFonts w:hAnsi="宋体"/>
                <w:b/>
                <w:sz w:val="24"/>
                <w:szCs w:val="24"/>
              </w:rPr>
            </w:pPr>
            <w:r>
              <w:rPr>
                <w:rFonts w:hint="eastAsia" w:hAnsi="宋体"/>
                <w:b/>
                <w:sz w:val="24"/>
                <w:szCs w:val="24"/>
              </w:rPr>
              <w:t>一</w:t>
            </w:r>
          </w:p>
        </w:tc>
        <w:tc>
          <w:tcPr>
            <w:tcW w:w="1544" w:type="dxa"/>
            <w:vAlign w:val="center"/>
          </w:tcPr>
          <w:p>
            <w:pPr>
              <w:rPr>
                <w:rFonts w:hAnsi="宋体"/>
                <w:b/>
                <w:sz w:val="24"/>
                <w:szCs w:val="24"/>
              </w:rPr>
            </w:pPr>
            <w:r>
              <w:rPr>
                <w:rFonts w:hint="eastAsia" w:hAnsi="宋体"/>
                <w:b/>
                <w:sz w:val="24"/>
                <w:szCs w:val="24"/>
              </w:rPr>
              <w:t>价格10%</w:t>
            </w:r>
          </w:p>
        </w:tc>
        <w:tc>
          <w:tcPr>
            <w:tcW w:w="698" w:type="dxa"/>
            <w:vAlign w:val="center"/>
          </w:tcPr>
          <w:p>
            <w:pPr>
              <w:rPr>
                <w:rFonts w:hAnsi="宋体"/>
                <w:b/>
                <w:sz w:val="24"/>
                <w:szCs w:val="24"/>
              </w:rPr>
            </w:pPr>
            <w:r>
              <w:rPr>
                <w:rFonts w:hint="eastAsia" w:hAnsi="宋体"/>
                <w:b/>
                <w:sz w:val="24"/>
                <w:szCs w:val="24"/>
              </w:rPr>
              <w:t>10</w:t>
            </w:r>
          </w:p>
        </w:tc>
        <w:tc>
          <w:tcPr>
            <w:tcW w:w="4507" w:type="dxa"/>
            <w:vAlign w:val="center"/>
          </w:tcPr>
          <w:p>
            <w:pPr>
              <w:rPr>
                <w:rFonts w:hAnsi="宋体"/>
                <w:sz w:val="24"/>
                <w:szCs w:val="24"/>
              </w:rPr>
            </w:pPr>
            <w:r>
              <w:rPr>
                <w:rFonts w:hint="eastAsia" w:hAnsi="宋体"/>
                <w:sz w:val="24"/>
                <w:szCs w:val="24"/>
              </w:rPr>
              <w:t>1.经评标委员会评审，通过资格性和符合性审查，且投标报价最低的投标人的投标报价作为评标基准价；</w:t>
            </w:r>
          </w:p>
          <w:p>
            <w:pPr>
              <w:rPr>
                <w:rFonts w:hAnsi="宋体"/>
                <w:sz w:val="24"/>
                <w:szCs w:val="24"/>
              </w:rPr>
            </w:pPr>
            <w:r>
              <w:rPr>
                <w:rFonts w:hint="eastAsia" w:hAnsi="宋体"/>
                <w:sz w:val="24"/>
                <w:szCs w:val="24"/>
              </w:rPr>
              <w:t>2.投标报价得分=(评标基准价／投标报价)×10</w:t>
            </w:r>
          </w:p>
        </w:tc>
        <w:tc>
          <w:tcPr>
            <w:tcW w:w="1049" w:type="dxa"/>
            <w:vAlign w:val="center"/>
          </w:tcPr>
          <w:p>
            <w:pPr>
              <w:spacing w:line="276" w:lineRule="auto"/>
              <w:rPr>
                <w:rFonts w:hAnsi="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759" w:type="dxa"/>
            <w:vAlign w:val="center"/>
          </w:tcPr>
          <w:p>
            <w:pPr>
              <w:rPr>
                <w:rFonts w:hAnsi="宋体"/>
                <w:b/>
                <w:sz w:val="24"/>
                <w:szCs w:val="24"/>
              </w:rPr>
            </w:pPr>
            <w:r>
              <w:rPr>
                <w:rFonts w:hint="eastAsia" w:hAnsi="宋体"/>
                <w:b/>
                <w:sz w:val="24"/>
                <w:szCs w:val="24"/>
              </w:rPr>
              <w:t>二</w:t>
            </w:r>
          </w:p>
        </w:tc>
        <w:tc>
          <w:tcPr>
            <w:tcW w:w="7798" w:type="dxa"/>
            <w:gridSpan w:val="4"/>
            <w:vAlign w:val="center"/>
          </w:tcPr>
          <w:p>
            <w:pPr>
              <w:rPr>
                <w:rFonts w:hAnsi="宋体"/>
                <w:b/>
                <w:sz w:val="24"/>
              </w:rPr>
            </w:pPr>
            <w:r>
              <w:rPr>
                <w:rFonts w:hint="eastAsia" w:hAnsi="宋体"/>
                <w:b/>
                <w:sz w:val="24"/>
                <w:szCs w:val="24"/>
              </w:rPr>
              <w:t>测评方案响应性10%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9" w:type="dxa"/>
            <w:vAlign w:val="center"/>
          </w:tcPr>
          <w:p>
            <w:pPr>
              <w:rPr>
                <w:rFonts w:hAnsi="宋体"/>
                <w:sz w:val="24"/>
                <w:szCs w:val="24"/>
              </w:rPr>
            </w:pPr>
            <w:r>
              <w:rPr>
                <w:rFonts w:hint="eastAsia" w:hAnsi="宋体"/>
                <w:sz w:val="24"/>
                <w:szCs w:val="24"/>
              </w:rPr>
              <w:t>1</w:t>
            </w:r>
          </w:p>
        </w:tc>
        <w:tc>
          <w:tcPr>
            <w:tcW w:w="1544" w:type="dxa"/>
            <w:vAlign w:val="center"/>
          </w:tcPr>
          <w:p>
            <w:pPr>
              <w:rPr>
                <w:rFonts w:hAnsi="宋体"/>
                <w:sz w:val="24"/>
                <w:szCs w:val="24"/>
              </w:rPr>
            </w:pPr>
            <w:r>
              <w:rPr>
                <w:rFonts w:hint="eastAsia" w:hAnsi="宋体"/>
                <w:sz w:val="24"/>
                <w:szCs w:val="24"/>
              </w:rPr>
              <w:t>测评方案</w:t>
            </w:r>
          </w:p>
        </w:tc>
        <w:tc>
          <w:tcPr>
            <w:tcW w:w="698" w:type="dxa"/>
            <w:vAlign w:val="center"/>
          </w:tcPr>
          <w:p>
            <w:pPr>
              <w:rPr>
                <w:rFonts w:hAnsi="宋体"/>
                <w:sz w:val="24"/>
                <w:szCs w:val="24"/>
              </w:rPr>
            </w:pPr>
            <w:r>
              <w:rPr>
                <w:rFonts w:hint="eastAsia" w:hAnsi="宋体"/>
                <w:sz w:val="24"/>
                <w:szCs w:val="24"/>
              </w:rPr>
              <w:t>10</w:t>
            </w:r>
          </w:p>
        </w:tc>
        <w:tc>
          <w:tcPr>
            <w:tcW w:w="4507" w:type="dxa"/>
          </w:tcPr>
          <w:p>
            <w:pPr>
              <w:rPr>
                <w:rFonts w:hAnsi="宋体"/>
                <w:sz w:val="24"/>
                <w:szCs w:val="24"/>
              </w:rPr>
            </w:pPr>
            <w:r>
              <w:rPr>
                <w:rFonts w:hint="eastAsia" w:hAnsi="宋体"/>
                <w:sz w:val="24"/>
                <w:szCs w:val="24"/>
              </w:rPr>
              <w:t xml:space="preserve">1.等保测评方案中包含测评流程、测评方法、测评指标和配合需求；每项内容满足本项目实际需求的得1分，缺少或不满足本项目实际需求不得分，本项最多得4分； </w:t>
            </w:r>
          </w:p>
          <w:p>
            <w:pPr>
              <w:rPr>
                <w:rFonts w:hAnsi="宋体"/>
                <w:sz w:val="24"/>
                <w:szCs w:val="24"/>
              </w:rPr>
            </w:pPr>
            <w:r>
              <w:rPr>
                <w:rFonts w:hint="eastAsia" w:hAnsi="宋体"/>
                <w:sz w:val="24"/>
                <w:szCs w:val="24"/>
              </w:rPr>
              <w:t>2.等保测评方案正确理解网络安全等级测评，测评思路清晰、测评内容完整、测评重点突出，测评方案包括但不限于：①项目实施标准；②方案编制；③现场测评；④报告编制；⑤项目人员安排；⑥项目实施周期等内容进行综合评审，以上内容详尽、完整且具有针对性得6分，每缺少一项或不完善扣1分，扣完为止；</w:t>
            </w:r>
          </w:p>
        </w:tc>
        <w:tc>
          <w:tcPr>
            <w:tcW w:w="1049" w:type="dxa"/>
            <w:vAlign w:val="center"/>
          </w:tcPr>
          <w:p>
            <w:pPr>
              <w:spacing w:line="276" w:lineRule="auto"/>
              <w:rPr>
                <w:rFonts w:hAnsi="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59" w:type="dxa"/>
            <w:vAlign w:val="center"/>
          </w:tcPr>
          <w:p>
            <w:pPr>
              <w:rPr>
                <w:rFonts w:hAnsi="宋体"/>
                <w:b/>
                <w:sz w:val="24"/>
                <w:szCs w:val="24"/>
              </w:rPr>
            </w:pPr>
            <w:r>
              <w:rPr>
                <w:rFonts w:hint="eastAsia" w:hAnsi="宋体"/>
                <w:b/>
                <w:sz w:val="24"/>
                <w:szCs w:val="24"/>
              </w:rPr>
              <w:t>三</w:t>
            </w:r>
          </w:p>
        </w:tc>
        <w:tc>
          <w:tcPr>
            <w:tcW w:w="7798" w:type="dxa"/>
            <w:gridSpan w:val="4"/>
            <w:vAlign w:val="center"/>
          </w:tcPr>
          <w:p>
            <w:pPr>
              <w:rPr>
                <w:rFonts w:hAnsi="宋体"/>
                <w:b/>
                <w:sz w:val="24"/>
              </w:rPr>
            </w:pPr>
            <w:r>
              <w:rPr>
                <w:rFonts w:hint="eastAsia" w:hAnsi="宋体"/>
                <w:b/>
                <w:sz w:val="24"/>
                <w:szCs w:val="24"/>
              </w:rPr>
              <w:t>专业人员技术力量48%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59" w:type="dxa"/>
            <w:vAlign w:val="center"/>
          </w:tcPr>
          <w:p>
            <w:pPr>
              <w:jc w:val="center"/>
              <w:rPr>
                <w:rFonts w:hAnsi="宋体"/>
                <w:sz w:val="24"/>
                <w:szCs w:val="24"/>
              </w:rPr>
            </w:pPr>
            <w:r>
              <w:rPr>
                <w:rFonts w:hint="eastAsia" w:hAnsi="宋体"/>
                <w:sz w:val="24"/>
                <w:szCs w:val="24"/>
              </w:rPr>
              <w:t>1</w:t>
            </w:r>
          </w:p>
        </w:tc>
        <w:tc>
          <w:tcPr>
            <w:tcW w:w="1544" w:type="dxa"/>
            <w:vMerge w:val="restart"/>
            <w:vAlign w:val="center"/>
          </w:tcPr>
          <w:p>
            <w:pPr>
              <w:jc w:val="center"/>
              <w:rPr>
                <w:rFonts w:hAnsi="宋体"/>
                <w:sz w:val="24"/>
                <w:szCs w:val="24"/>
              </w:rPr>
            </w:pPr>
            <w:r>
              <w:rPr>
                <w:rFonts w:hint="eastAsia" w:hAnsi="宋体"/>
                <w:sz w:val="24"/>
                <w:szCs w:val="24"/>
              </w:rPr>
              <w:t>投标人机构技术团队情况</w:t>
            </w:r>
          </w:p>
        </w:tc>
        <w:tc>
          <w:tcPr>
            <w:tcW w:w="698" w:type="dxa"/>
            <w:vAlign w:val="center"/>
          </w:tcPr>
          <w:p>
            <w:pPr>
              <w:jc w:val="center"/>
              <w:rPr>
                <w:rFonts w:hAnsi="宋体"/>
                <w:sz w:val="24"/>
                <w:szCs w:val="24"/>
              </w:rPr>
            </w:pPr>
            <w:r>
              <w:rPr>
                <w:rFonts w:hint="eastAsia" w:hAnsi="宋体"/>
                <w:sz w:val="24"/>
                <w:szCs w:val="24"/>
              </w:rPr>
              <w:t>15</w:t>
            </w:r>
          </w:p>
        </w:tc>
        <w:tc>
          <w:tcPr>
            <w:tcW w:w="4507" w:type="dxa"/>
            <w:vAlign w:val="center"/>
          </w:tcPr>
          <w:p>
            <w:pPr>
              <w:rPr>
                <w:rFonts w:hAnsi="宋体"/>
                <w:sz w:val="24"/>
                <w:szCs w:val="24"/>
              </w:rPr>
            </w:pPr>
            <w:r>
              <w:rPr>
                <w:rFonts w:hint="eastAsia" w:hAnsi="宋体"/>
                <w:sz w:val="24"/>
                <w:szCs w:val="24"/>
              </w:rPr>
              <w:t>技术负责人同时具有:</w:t>
            </w:r>
          </w:p>
          <w:p>
            <w:pPr>
              <w:pStyle w:val="72"/>
              <w:ind w:firstLine="0" w:firstLineChars="0"/>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信息安全等级评测师（高级）证书或网络安全等级评测师（高级）证书；</w:t>
            </w:r>
          </w:p>
          <w:p>
            <w:pPr>
              <w:pStyle w:val="72"/>
              <w:ind w:firstLine="0" w:firstLineChars="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注册信息安全专业人员（CISP）证书；</w:t>
            </w:r>
          </w:p>
          <w:p>
            <w:pPr>
              <w:pStyle w:val="72"/>
              <w:ind w:firstLine="0" w:firstLineChars="0"/>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注册云安全系统认证专家（CCSSP）证书；</w:t>
            </w:r>
          </w:p>
          <w:p>
            <w:pPr>
              <w:pStyle w:val="72"/>
              <w:ind w:firstLine="0" w:firstLineChars="0"/>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信息安全测评师；</w:t>
            </w:r>
          </w:p>
          <w:p>
            <w:pPr>
              <w:pStyle w:val="72"/>
              <w:ind w:firstLine="0" w:firstLineChars="0"/>
              <w:rPr>
                <w:rFonts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具有高级及以上职称证书；</w:t>
            </w:r>
          </w:p>
          <w:p>
            <w:pPr>
              <w:pStyle w:val="72"/>
              <w:ind w:firstLine="0" w:firstLineChars="0"/>
              <w:rPr>
                <w:rFonts w:ascii="宋体" w:hAnsi="宋体"/>
                <w:sz w:val="24"/>
                <w:szCs w:val="24"/>
              </w:rPr>
            </w:pPr>
            <w:r>
              <w:rPr>
                <w:rFonts w:hint="eastAsia" w:ascii="宋体" w:hAnsi="宋体"/>
                <w:sz w:val="24"/>
                <w:szCs w:val="24"/>
              </w:rPr>
              <w:t>6</w:t>
            </w:r>
            <w:r>
              <w:rPr>
                <w:rFonts w:ascii="宋体" w:hAnsi="宋体"/>
                <w:sz w:val="24"/>
                <w:szCs w:val="24"/>
              </w:rPr>
              <w:t>.</w:t>
            </w:r>
            <w:r>
              <w:rPr>
                <w:rFonts w:hint="eastAsia" w:ascii="宋体" w:hAnsi="宋体"/>
                <w:sz w:val="24"/>
                <w:szCs w:val="24"/>
              </w:rPr>
              <w:t>网络与信息安全应急人员（管理I级）；</w:t>
            </w:r>
          </w:p>
          <w:p>
            <w:pPr>
              <w:rPr>
                <w:rFonts w:hAnsi="宋体"/>
                <w:sz w:val="24"/>
                <w:szCs w:val="24"/>
              </w:rPr>
            </w:pPr>
            <w:r>
              <w:rPr>
                <w:rFonts w:hint="eastAsia" w:hAnsi="宋体"/>
                <w:sz w:val="24"/>
                <w:szCs w:val="24"/>
              </w:rPr>
              <w:t>以上证书，每提供一个得2.5分，最多得15分，未提供不得分。</w:t>
            </w:r>
          </w:p>
        </w:tc>
        <w:tc>
          <w:tcPr>
            <w:tcW w:w="1049" w:type="dxa"/>
            <w:vMerge w:val="restart"/>
            <w:vAlign w:val="center"/>
          </w:tcPr>
          <w:p>
            <w:pPr>
              <w:spacing w:line="276" w:lineRule="auto"/>
              <w:rPr>
                <w:rFonts w:hAnsi="宋体" w:cs="Arial"/>
                <w:sz w:val="24"/>
                <w:szCs w:val="24"/>
              </w:rPr>
            </w:pPr>
            <w:r>
              <w:rPr>
                <w:rFonts w:hint="eastAsia" w:hAnsi="宋体" w:cs="Arial"/>
                <w:sz w:val="24"/>
                <w:szCs w:val="24"/>
              </w:rPr>
              <w:t>以上人员提供2020年连续3个月的社保材料。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59" w:type="dxa"/>
            <w:vAlign w:val="center"/>
          </w:tcPr>
          <w:p>
            <w:pPr>
              <w:jc w:val="center"/>
              <w:rPr>
                <w:rFonts w:hAnsi="宋体"/>
                <w:sz w:val="24"/>
                <w:szCs w:val="24"/>
              </w:rPr>
            </w:pPr>
            <w:r>
              <w:rPr>
                <w:rFonts w:hint="eastAsia" w:hAnsi="宋体"/>
                <w:sz w:val="24"/>
                <w:szCs w:val="24"/>
              </w:rPr>
              <w:t>2</w:t>
            </w:r>
          </w:p>
        </w:tc>
        <w:tc>
          <w:tcPr>
            <w:tcW w:w="1544" w:type="dxa"/>
            <w:vMerge w:val="continue"/>
            <w:vAlign w:val="center"/>
          </w:tcPr>
          <w:p>
            <w:pPr>
              <w:jc w:val="center"/>
              <w:rPr>
                <w:rFonts w:hAnsi="宋体"/>
                <w:sz w:val="24"/>
                <w:szCs w:val="24"/>
              </w:rPr>
            </w:pPr>
          </w:p>
        </w:tc>
        <w:tc>
          <w:tcPr>
            <w:tcW w:w="698" w:type="dxa"/>
            <w:vAlign w:val="center"/>
          </w:tcPr>
          <w:p>
            <w:pPr>
              <w:jc w:val="center"/>
              <w:rPr>
                <w:rFonts w:hAnsi="宋体"/>
                <w:sz w:val="24"/>
                <w:szCs w:val="24"/>
              </w:rPr>
            </w:pPr>
            <w:r>
              <w:rPr>
                <w:rFonts w:hint="eastAsia" w:hAnsi="宋体"/>
                <w:sz w:val="24"/>
                <w:szCs w:val="24"/>
              </w:rPr>
              <w:t>18</w:t>
            </w:r>
          </w:p>
        </w:tc>
        <w:tc>
          <w:tcPr>
            <w:tcW w:w="4507" w:type="dxa"/>
            <w:vAlign w:val="center"/>
          </w:tcPr>
          <w:p>
            <w:pPr>
              <w:rPr>
                <w:rFonts w:hAnsi="宋体"/>
                <w:sz w:val="24"/>
                <w:szCs w:val="24"/>
              </w:rPr>
            </w:pPr>
            <w:r>
              <w:rPr>
                <w:rFonts w:hint="eastAsia" w:hAnsi="宋体"/>
                <w:sz w:val="24"/>
                <w:szCs w:val="24"/>
              </w:rPr>
              <w:t>项目经理同时具有：</w:t>
            </w:r>
          </w:p>
          <w:p>
            <w:pPr>
              <w:rPr>
                <w:rFonts w:hAnsi="宋体"/>
                <w:sz w:val="24"/>
                <w:szCs w:val="24"/>
              </w:rPr>
            </w:pPr>
            <w:r>
              <w:rPr>
                <w:rFonts w:hAnsi="宋体"/>
                <w:sz w:val="24"/>
                <w:szCs w:val="24"/>
              </w:rPr>
              <w:t>1.</w:t>
            </w:r>
            <w:r>
              <w:rPr>
                <w:rFonts w:hint="eastAsia" w:hAnsi="宋体"/>
                <w:sz w:val="24"/>
                <w:szCs w:val="24"/>
              </w:rPr>
              <w:t>信息安全等级评测师（高级）证书或网络安全等级评测师（高级）证书；</w:t>
            </w:r>
          </w:p>
          <w:p>
            <w:pPr>
              <w:rPr>
                <w:rFonts w:hAnsi="宋体"/>
                <w:sz w:val="24"/>
                <w:szCs w:val="24"/>
              </w:rPr>
            </w:pPr>
            <w:r>
              <w:rPr>
                <w:rFonts w:hAnsi="宋体"/>
                <w:sz w:val="24"/>
                <w:szCs w:val="24"/>
              </w:rPr>
              <w:t>2.</w:t>
            </w:r>
            <w:r>
              <w:rPr>
                <w:rFonts w:hint="eastAsia" w:hAnsi="宋体"/>
                <w:sz w:val="24"/>
                <w:szCs w:val="24"/>
              </w:rPr>
              <w:t>信息安全测评师；</w:t>
            </w:r>
          </w:p>
          <w:p>
            <w:pPr>
              <w:rPr>
                <w:rFonts w:hAnsi="宋体"/>
                <w:sz w:val="24"/>
                <w:szCs w:val="24"/>
              </w:rPr>
            </w:pPr>
            <w:r>
              <w:rPr>
                <w:rFonts w:hAnsi="宋体"/>
                <w:sz w:val="24"/>
                <w:szCs w:val="24"/>
              </w:rPr>
              <w:t>3.</w:t>
            </w:r>
            <w:r>
              <w:rPr>
                <w:rFonts w:hint="eastAsia" w:hAnsi="宋体"/>
                <w:sz w:val="24"/>
                <w:szCs w:val="24"/>
              </w:rPr>
              <w:t>注册云安全系统认证专家（CCSSP）证书；</w:t>
            </w:r>
          </w:p>
          <w:p>
            <w:pPr>
              <w:rPr>
                <w:rFonts w:hAnsi="宋体"/>
                <w:sz w:val="24"/>
                <w:szCs w:val="24"/>
              </w:rPr>
            </w:pPr>
            <w:r>
              <w:rPr>
                <w:rFonts w:hAnsi="宋体"/>
                <w:sz w:val="24"/>
                <w:szCs w:val="24"/>
              </w:rPr>
              <w:t>4.</w:t>
            </w:r>
            <w:r>
              <w:rPr>
                <w:rFonts w:hint="eastAsia" w:hAnsi="宋体"/>
                <w:sz w:val="24"/>
                <w:szCs w:val="24"/>
              </w:rPr>
              <w:t>网络与信息安全应急人员（管理I级）；</w:t>
            </w:r>
          </w:p>
          <w:p>
            <w:pPr>
              <w:rPr>
                <w:rFonts w:hAnsi="宋体"/>
                <w:sz w:val="24"/>
                <w:szCs w:val="24"/>
              </w:rPr>
            </w:pPr>
            <w:r>
              <w:rPr>
                <w:rFonts w:hAnsi="宋体"/>
                <w:sz w:val="24"/>
                <w:szCs w:val="24"/>
              </w:rPr>
              <w:t>5.</w:t>
            </w:r>
            <w:r>
              <w:rPr>
                <w:rFonts w:hint="eastAsia" w:hAnsi="宋体"/>
                <w:sz w:val="24"/>
                <w:szCs w:val="24"/>
              </w:rPr>
              <w:t>信息安全保障人员（CISAW）（认证方向：应急服务）；</w:t>
            </w:r>
          </w:p>
          <w:p>
            <w:pPr>
              <w:rPr>
                <w:rFonts w:hAnsi="宋体"/>
                <w:sz w:val="24"/>
                <w:szCs w:val="24"/>
              </w:rPr>
            </w:pPr>
            <w:r>
              <w:rPr>
                <w:rFonts w:hAnsi="宋体"/>
                <w:sz w:val="24"/>
                <w:szCs w:val="24"/>
              </w:rPr>
              <w:t>6.</w:t>
            </w:r>
            <w:r>
              <w:rPr>
                <w:rFonts w:hint="eastAsia" w:hAnsi="宋体"/>
                <w:sz w:val="24"/>
                <w:szCs w:val="24"/>
              </w:rPr>
              <w:t>计算机软件产品检验员证书。</w:t>
            </w:r>
          </w:p>
          <w:p>
            <w:pPr>
              <w:rPr>
                <w:rFonts w:hAnsi="宋体"/>
                <w:sz w:val="24"/>
                <w:szCs w:val="24"/>
              </w:rPr>
            </w:pPr>
            <w:bookmarkStart w:id="100" w:name="_Hlk481593287"/>
            <w:r>
              <w:rPr>
                <w:rFonts w:hint="eastAsia" w:hAnsi="宋体"/>
                <w:sz w:val="24"/>
                <w:szCs w:val="24"/>
              </w:rPr>
              <w:t>以上证书，每提供一个得2.5分，最多得15分，未提供不得分。</w:t>
            </w:r>
          </w:p>
          <w:p>
            <w:pPr>
              <w:rPr>
                <w:rFonts w:hAnsi="宋体"/>
                <w:sz w:val="24"/>
                <w:szCs w:val="24"/>
              </w:rPr>
            </w:pPr>
            <w:r>
              <w:rPr>
                <w:rFonts w:hint="eastAsia" w:hAnsi="宋体"/>
                <w:sz w:val="24"/>
                <w:szCs w:val="24"/>
              </w:rPr>
              <w:t>获得过国家信息安全等级保护工作协调小组办公室颁发的个人荣誉证书的得3分</w:t>
            </w:r>
            <w:bookmarkEnd w:id="100"/>
            <w:r>
              <w:rPr>
                <w:rFonts w:hint="eastAsia" w:hAnsi="宋体"/>
                <w:sz w:val="24"/>
                <w:szCs w:val="24"/>
              </w:rPr>
              <w:t>。</w:t>
            </w:r>
          </w:p>
        </w:tc>
        <w:tc>
          <w:tcPr>
            <w:tcW w:w="1049" w:type="dxa"/>
            <w:vMerge w:val="continue"/>
            <w:vAlign w:val="center"/>
          </w:tcPr>
          <w:p>
            <w:pPr>
              <w:spacing w:line="276" w:lineRule="auto"/>
              <w:rPr>
                <w:rFonts w:hAnsi="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59" w:type="dxa"/>
            <w:vAlign w:val="center"/>
          </w:tcPr>
          <w:p>
            <w:pPr>
              <w:jc w:val="center"/>
              <w:rPr>
                <w:rFonts w:hAnsi="宋体"/>
                <w:sz w:val="24"/>
                <w:szCs w:val="24"/>
              </w:rPr>
            </w:pPr>
            <w:r>
              <w:rPr>
                <w:rFonts w:hint="eastAsia" w:hAnsi="宋体"/>
                <w:sz w:val="24"/>
                <w:szCs w:val="24"/>
              </w:rPr>
              <w:t>3</w:t>
            </w:r>
          </w:p>
        </w:tc>
        <w:tc>
          <w:tcPr>
            <w:tcW w:w="1544" w:type="dxa"/>
            <w:vMerge w:val="continue"/>
            <w:vAlign w:val="center"/>
          </w:tcPr>
          <w:p>
            <w:pPr>
              <w:jc w:val="center"/>
              <w:rPr>
                <w:rFonts w:hAnsi="宋体"/>
                <w:sz w:val="24"/>
                <w:szCs w:val="24"/>
              </w:rPr>
            </w:pPr>
          </w:p>
        </w:tc>
        <w:tc>
          <w:tcPr>
            <w:tcW w:w="698" w:type="dxa"/>
            <w:vAlign w:val="center"/>
          </w:tcPr>
          <w:p>
            <w:pPr>
              <w:jc w:val="center"/>
              <w:rPr>
                <w:rFonts w:hAnsi="宋体"/>
                <w:sz w:val="24"/>
                <w:szCs w:val="24"/>
              </w:rPr>
            </w:pPr>
            <w:r>
              <w:rPr>
                <w:rFonts w:hint="eastAsia" w:hAnsi="宋体"/>
                <w:sz w:val="24"/>
                <w:szCs w:val="24"/>
              </w:rPr>
              <w:t>15</w:t>
            </w:r>
          </w:p>
        </w:tc>
        <w:tc>
          <w:tcPr>
            <w:tcW w:w="4507" w:type="dxa"/>
            <w:vAlign w:val="center"/>
          </w:tcPr>
          <w:p>
            <w:pPr>
              <w:rPr>
                <w:rFonts w:hAnsi="宋体"/>
                <w:sz w:val="24"/>
                <w:szCs w:val="24"/>
              </w:rPr>
            </w:pPr>
            <w:r>
              <w:rPr>
                <w:rFonts w:hint="eastAsia" w:hAnsi="宋体"/>
                <w:sz w:val="24"/>
                <w:szCs w:val="24"/>
              </w:rPr>
              <w:t>测试团队人员（不包含技术负责人、项目经理）在具有信息安全等级测评师证书的同时具有以下证书：</w:t>
            </w:r>
          </w:p>
          <w:p>
            <w:pPr>
              <w:pStyle w:val="72"/>
              <w:ind w:firstLine="0" w:firstLineChars="0"/>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信息安全等级评测师证书或网络安全等级评测师证书；</w:t>
            </w:r>
          </w:p>
          <w:p>
            <w:pPr>
              <w:pStyle w:val="72"/>
              <w:ind w:firstLine="0" w:firstLineChars="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网络与信息安全应急人员（技术I级）；</w:t>
            </w:r>
          </w:p>
          <w:p>
            <w:pPr>
              <w:pStyle w:val="72"/>
              <w:ind w:firstLine="0" w:firstLineChars="0"/>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注册网络安全专业防御人员（NSATP-D）；</w:t>
            </w:r>
          </w:p>
          <w:p>
            <w:pPr>
              <w:pStyle w:val="72"/>
              <w:ind w:firstLine="0" w:firstLineChars="0"/>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计算机技术与软件专业技术资格（信息安全工程师）证书；</w:t>
            </w:r>
          </w:p>
          <w:p>
            <w:pPr>
              <w:pStyle w:val="72"/>
              <w:ind w:firstLine="0" w:firstLineChars="0"/>
              <w:rPr>
                <w:rFonts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信息安全保障人员（CISAW）（认证方向：工控网络安全）；</w:t>
            </w:r>
          </w:p>
          <w:p>
            <w:pPr>
              <w:pStyle w:val="72"/>
              <w:ind w:firstLine="0" w:firstLineChars="0"/>
              <w:rPr>
                <w:rFonts w:ascii="宋体" w:hAnsi="宋体"/>
                <w:sz w:val="24"/>
                <w:szCs w:val="24"/>
              </w:rPr>
            </w:pPr>
            <w:r>
              <w:rPr>
                <w:rFonts w:hint="eastAsia" w:ascii="宋体" w:hAnsi="宋体"/>
                <w:sz w:val="24"/>
                <w:szCs w:val="24"/>
              </w:rPr>
              <w:t>6</w:t>
            </w:r>
            <w:r>
              <w:rPr>
                <w:rFonts w:ascii="宋体" w:hAnsi="宋体"/>
                <w:sz w:val="24"/>
                <w:szCs w:val="24"/>
              </w:rPr>
              <w:t>.</w:t>
            </w:r>
            <w:r>
              <w:rPr>
                <w:rFonts w:hint="eastAsia" w:ascii="宋体" w:hAnsi="宋体"/>
                <w:sz w:val="24"/>
                <w:szCs w:val="24"/>
              </w:rPr>
              <w:t>注册云安全系统认证专家（CCSSP）证书。</w:t>
            </w:r>
          </w:p>
          <w:p>
            <w:pPr>
              <w:rPr>
                <w:rFonts w:hAnsi="宋体"/>
                <w:sz w:val="24"/>
                <w:szCs w:val="24"/>
              </w:rPr>
            </w:pPr>
            <w:r>
              <w:rPr>
                <w:rFonts w:hint="eastAsia" w:hAnsi="宋体"/>
                <w:sz w:val="24"/>
                <w:szCs w:val="24"/>
              </w:rPr>
              <w:t>以上证书，每提供一个得2.5分，最多得15分，未提供不得分。</w:t>
            </w:r>
          </w:p>
        </w:tc>
        <w:tc>
          <w:tcPr>
            <w:tcW w:w="1049" w:type="dxa"/>
            <w:vMerge w:val="continue"/>
            <w:vAlign w:val="center"/>
          </w:tcPr>
          <w:p>
            <w:pPr>
              <w:spacing w:line="276" w:lineRule="auto"/>
              <w:rPr>
                <w:rFonts w:hAnsi="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759" w:type="dxa"/>
            <w:vAlign w:val="center"/>
          </w:tcPr>
          <w:p>
            <w:pPr>
              <w:rPr>
                <w:rFonts w:hAnsi="宋体"/>
                <w:b/>
                <w:sz w:val="24"/>
                <w:szCs w:val="24"/>
              </w:rPr>
            </w:pPr>
            <w:r>
              <w:rPr>
                <w:rFonts w:hint="eastAsia" w:hAnsi="宋体"/>
                <w:b/>
                <w:sz w:val="24"/>
                <w:szCs w:val="24"/>
              </w:rPr>
              <w:t>四</w:t>
            </w:r>
          </w:p>
        </w:tc>
        <w:tc>
          <w:tcPr>
            <w:tcW w:w="7798" w:type="dxa"/>
            <w:gridSpan w:val="4"/>
            <w:vAlign w:val="center"/>
          </w:tcPr>
          <w:p>
            <w:pPr>
              <w:jc w:val="left"/>
              <w:rPr>
                <w:rFonts w:hAnsi="宋体"/>
                <w:b/>
                <w:sz w:val="24"/>
              </w:rPr>
            </w:pPr>
            <w:r>
              <w:rPr>
                <w:rFonts w:hint="eastAsia" w:hAnsi="宋体"/>
                <w:b/>
                <w:sz w:val="24"/>
                <w:szCs w:val="24"/>
              </w:rPr>
              <w:t>履约能力30%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759" w:type="dxa"/>
            <w:vAlign w:val="center"/>
          </w:tcPr>
          <w:p>
            <w:pPr>
              <w:jc w:val="center"/>
              <w:rPr>
                <w:rFonts w:hAnsi="宋体"/>
                <w:sz w:val="24"/>
                <w:szCs w:val="24"/>
              </w:rPr>
            </w:pPr>
            <w:r>
              <w:rPr>
                <w:rFonts w:hint="eastAsia" w:hAnsi="宋体"/>
                <w:sz w:val="24"/>
                <w:szCs w:val="24"/>
              </w:rPr>
              <w:t>1</w:t>
            </w:r>
          </w:p>
        </w:tc>
        <w:tc>
          <w:tcPr>
            <w:tcW w:w="1544" w:type="dxa"/>
            <w:vAlign w:val="center"/>
          </w:tcPr>
          <w:p>
            <w:pPr>
              <w:jc w:val="center"/>
              <w:rPr>
                <w:rFonts w:hAnsi="宋体"/>
                <w:sz w:val="24"/>
                <w:szCs w:val="24"/>
              </w:rPr>
            </w:pPr>
            <w:r>
              <w:rPr>
                <w:rFonts w:hint="eastAsia" w:hAnsi="宋体"/>
                <w:sz w:val="24"/>
                <w:szCs w:val="24"/>
              </w:rPr>
              <w:t>投标人</w:t>
            </w:r>
          </w:p>
          <w:p>
            <w:pPr>
              <w:jc w:val="center"/>
              <w:rPr>
                <w:rFonts w:hAnsi="宋体"/>
                <w:sz w:val="24"/>
                <w:szCs w:val="24"/>
              </w:rPr>
            </w:pPr>
            <w:r>
              <w:rPr>
                <w:rFonts w:hint="eastAsia" w:hAnsi="宋体"/>
                <w:sz w:val="24"/>
                <w:szCs w:val="24"/>
              </w:rPr>
              <w:t>业绩</w:t>
            </w:r>
          </w:p>
        </w:tc>
        <w:tc>
          <w:tcPr>
            <w:tcW w:w="698" w:type="dxa"/>
            <w:vAlign w:val="center"/>
          </w:tcPr>
          <w:p>
            <w:pPr>
              <w:jc w:val="center"/>
              <w:rPr>
                <w:rFonts w:hAnsi="宋体"/>
                <w:sz w:val="24"/>
                <w:szCs w:val="24"/>
              </w:rPr>
            </w:pPr>
            <w:r>
              <w:rPr>
                <w:rFonts w:hint="eastAsia" w:hAnsi="宋体"/>
                <w:sz w:val="24"/>
                <w:szCs w:val="24"/>
              </w:rPr>
              <w:t>10</w:t>
            </w:r>
          </w:p>
        </w:tc>
        <w:tc>
          <w:tcPr>
            <w:tcW w:w="4507" w:type="dxa"/>
            <w:vAlign w:val="center"/>
          </w:tcPr>
          <w:p>
            <w:pPr>
              <w:pStyle w:val="60"/>
              <w:widowControl/>
              <w:ind w:firstLine="0" w:firstLineChars="0"/>
              <w:rPr>
                <w:rFonts w:ascii="宋体" w:hAnsi="宋体"/>
                <w:sz w:val="24"/>
                <w:szCs w:val="24"/>
              </w:rPr>
            </w:pPr>
            <w:r>
              <w:rPr>
                <w:rFonts w:hint="eastAsia" w:ascii="宋体" w:hAnsi="宋体"/>
                <w:sz w:val="24"/>
                <w:szCs w:val="24"/>
              </w:rPr>
              <w:t>2020年1月1日以来，具有信息安全测评项目案例，每具有1个合同得2分，最多得10分；</w:t>
            </w:r>
          </w:p>
        </w:tc>
        <w:tc>
          <w:tcPr>
            <w:tcW w:w="1049" w:type="dxa"/>
            <w:vMerge w:val="restart"/>
            <w:vAlign w:val="center"/>
          </w:tcPr>
          <w:p>
            <w:pPr>
              <w:rPr>
                <w:rFonts w:hAnsi="宋体"/>
                <w:sz w:val="24"/>
                <w:szCs w:val="24"/>
              </w:rPr>
            </w:pPr>
            <w:r>
              <w:rPr>
                <w:rFonts w:hint="eastAsia" w:hAnsi="宋体"/>
                <w:sz w:val="24"/>
                <w:szCs w:val="24"/>
              </w:rPr>
              <w:t>附有效证明文件复印件（加盖投标人公章，原件备查）。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59" w:type="dxa"/>
            <w:vAlign w:val="center"/>
          </w:tcPr>
          <w:p>
            <w:pPr>
              <w:jc w:val="center"/>
              <w:rPr>
                <w:rFonts w:hAnsi="宋体"/>
                <w:sz w:val="24"/>
                <w:szCs w:val="24"/>
              </w:rPr>
            </w:pPr>
            <w:r>
              <w:rPr>
                <w:rFonts w:hint="eastAsia" w:hAnsi="宋体"/>
                <w:sz w:val="24"/>
                <w:szCs w:val="24"/>
              </w:rPr>
              <w:t>2</w:t>
            </w:r>
          </w:p>
        </w:tc>
        <w:tc>
          <w:tcPr>
            <w:tcW w:w="1544" w:type="dxa"/>
            <w:vAlign w:val="center"/>
          </w:tcPr>
          <w:p>
            <w:pPr>
              <w:jc w:val="center"/>
              <w:rPr>
                <w:rFonts w:hAnsi="宋体"/>
                <w:sz w:val="24"/>
                <w:szCs w:val="24"/>
              </w:rPr>
            </w:pPr>
            <w:r>
              <w:rPr>
                <w:rFonts w:hint="eastAsia" w:hAnsi="宋体"/>
                <w:sz w:val="24"/>
                <w:szCs w:val="24"/>
              </w:rPr>
              <w:t>投标人机构情况</w:t>
            </w:r>
          </w:p>
        </w:tc>
        <w:tc>
          <w:tcPr>
            <w:tcW w:w="698" w:type="dxa"/>
            <w:vAlign w:val="center"/>
          </w:tcPr>
          <w:p>
            <w:pPr>
              <w:jc w:val="center"/>
              <w:rPr>
                <w:rFonts w:hAnsi="宋体"/>
                <w:sz w:val="24"/>
                <w:szCs w:val="24"/>
              </w:rPr>
            </w:pPr>
            <w:r>
              <w:rPr>
                <w:rFonts w:hint="eastAsia" w:hAnsi="宋体"/>
                <w:sz w:val="24"/>
                <w:szCs w:val="24"/>
              </w:rPr>
              <w:t>20</w:t>
            </w:r>
          </w:p>
        </w:tc>
        <w:tc>
          <w:tcPr>
            <w:tcW w:w="4507" w:type="dxa"/>
            <w:vAlign w:val="center"/>
          </w:tcPr>
          <w:p>
            <w:pPr>
              <w:rPr>
                <w:rFonts w:hAnsi="宋体"/>
                <w:sz w:val="24"/>
                <w:szCs w:val="24"/>
              </w:rPr>
            </w:pPr>
            <w:r>
              <w:rPr>
                <w:rFonts w:hAnsi="宋体"/>
                <w:sz w:val="24"/>
                <w:szCs w:val="24"/>
              </w:rPr>
              <w:t>1.</w:t>
            </w:r>
            <w:r>
              <w:rPr>
                <w:rFonts w:hint="eastAsia" w:hAnsi="宋体"/>
                <w:sz w:val="24"/>
                <w:szCs w:val="24"/>
              </w:rPr>
              <w:t>具有质量管理体系认证证书,认证范围包括“评估测试服务”得2分；</w:t>
            </w:r>
          </w:p>
          <w:p>
            <w:pPr>
              <w:rPr>
                <w:rFonts w:hAnsi="宋体"/>
                <w:sz w:val="24"/>
                <w:szCs w:val="24"/>
              </w:rPr>
            </w:pPr>
            <w:r>
              <w:rPr>
                <w:rFonts w:hint="eastAsia" w:hAnsi="宋体"/>
                <w:sz w:val="24"/>
                <w:szCs w:val="24"/>
              </w:rPr>
              <w:t>2.具有信息技术服务管理体系证书,认证范围包括“评估测试服务”得2分；</w:t>
            </w:r>
          </w:p>
          <w:p>
            <w:pPr>
              <w:rPr>
                <w:rFonts w:hAnsi="宋体"/>
                <w:sz w:val="24"/>
                <w:szCs w:val="24"/>
              </w:rPr>
            </w:pPr>
            <w:r>
              <w:rPr>
                <w:rFonts w:hint="eastAsia" w:hAnsi="宋体"/>
                <w:sz w:val="24"/>
                <w:szCs w:val="24"/>
              </w:rPr>
              <w:t>2.具有信息安全管理体系证书,认证范围包括“评估测试服务”得2分；</w:t>
            </w:r>
          </w:p>
          <w:p>
            <w:pPr>
              <w:rPr>
                <w:rFonts w:hAnsi="宋体"/>
                <w:sz w:val="24"/>
                <w:szCs w:val="24"/>
              </w:rPr>
            </w:pPr>
            <w:r>
              <w:rPr>
                <w:rFonts w:hint="eastAsia" w:hAnsi="宋体"/>
                <w:sz w:val="24"/>
                <w:szCs w:val="24"/>
              </w:rPr>
              <w:t>3</w:t>
            </w:r>
            <w:r>
              <w:rPr>
                <w:rFonts w:hAnsi="宋体"/>
                <w:sz w:val="24"/>
                <w:szCs w:val="24"/>
              </w:rPr>
              <w:t>.</w:t>
            </w:r>
            <w:r>
              <w:rPr>
                <w:rFonts w:hint="eastAsia" w:hAnsi="宋体"/>
                <w:sz w:val="24"/>
                <w:szCs w:val="24"/>
              </w:rPr>
              <w:t>投标人具有工业信息安全应急服务支撑单位证书得4分，具有工业信息安全测试评估机构能力认定证书得4分，未提供相关证明材料的不得分；</w:t>
            </w:r>
          </w:p>
          <w:p>
            <w:pPr>
              <w:rPr>
                <w:rFonts w:hAnsi="宋体"/>
                <w:sz w:val="24"/>
                <w:szCs w:val="24"/>
              </w:rPr>
            </w:pPr>
            <w:r>
              <w:rPr>
                <w:rFonts w:hint="eastAsia" w:hAnsi="宋体"/>
                <w:sz w:val="24"/>
                <w:szCs w:val="24"/>
              </w:rPr>
              <w:t>4</w:t>
            </w:r>
            <w:r>
              <w:rPr>
                <w:rFonts w:hAnsi="宋体"/>
                <w:sz w:val="24"/>
                <w:szCs w:val="24"/>
              </w:rPr>
              <w:t>.</w:t>
            </w:r>
            <w:r>
              <w:rPr>
                <w:rFonts w:hint="eastAsia" w:hAnsi="宋体"/>
                <w:sz w:val="24"/>
                <w:szCs w:val="24"/>
              </w:rPr>
              <w:t>投标人在2018年至今，具有一份及以上CNVD颁发的“原创漏洞证明”证书，一个得0.5分，最高得6分。</w:t>
            </w:r>
          </w:p>
        </w:tc>
        <w:tc>
          <w:tcPr>
            <w:tcW w:w="1049" w:type="dxa"/>
            <w:vMerge w:val="continue"/>
            <w:vAlign w:val="center"/>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759" w:type="dxa"/>
            <w:vAlign w:val="center"/>
          </w:tcPr>
          <w:p>
            <w:pPr>
              <w:rPr>
                <w:rFonts w:hAnsi="宋体"/>
                <w:b/>
                <w:sz w:val="24"/>
                <w:szCs w:val="24"/>
              </w:rPr>
            </w:pPr>
            <w:r>
              <w:rPr>
                <w:rFonts w:hint="eastAsia" w:hAnsi="宋体"/>
                <w:b/>
                <w:sz w:val="24"/>
                <w:szCs w:val="24"/>
              </w:rPr>
              <w:t>五</w:t>
            </w:r>
          </w:p>
        </w:tc>
        <w:tc>
          <w:tcPr>
            <w:tcW w:w="7798" w:type="dxa"/>
            <w:gridSpan w:val="4"/>
            <w:vAlign w:val="center"/>
          </w:tcPr>
          <w:p>
            <w:pPr>
              <w:jc w:val="center"/>
              <w:rPr>
                <w:rFonts w:hAnsi="宋体"/>
                <w:sz w:val="24"/>
              </w:rPr>
            </w:pPr>
            <w:r>
              <w:rPr>
                <w:rFonts w:hint="eastAsia" w:hAnsi="宋体"/>
                <w:b/>
                <w:sz w:val="24"/>
                <w:szCs w:val="24"/>
              </w:rPr>
              <w:t>文件规范性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59" w:type="dxa"/>
            <w:vAlign w:val="center"/>
          </w:tcPr>
          <w:p>
            <w:pPr>
              <w:rPr>
                <w:rFonts w:hAnsi="宋体"/>
                <w:sz w:val="24"/>
                <w:szCs w:val="24"/>
              </w:rPr>
            </w:pPr>
          </w:p>
        </w:tc>
        <w:tc>
          <w:tcPr>
            <w:tcW w:w="1544" w:type="dxa"/>
            <w:vAlign w:val="center"/>
          </w:tcPr>
          <w:p>
            <w:pPr>
              <w:rPr>
                <w:rFonts w:hAnsi="宋体"/>
                <w:sz w:val="24"/>
                <w:szCs w:val="24"/>
              </w:rPr>
            </w:pPr>
            <w:r>
              <w:rPr>
                <w:rFonts w:hint="eastAsia" w:hAnsi="宋体"/>
                <w:sz w:val="24"/>
                <w:szCs w:val="24"/>
              </w:rPr>
              <w:t>投标文件规范</w:t>
            </w:r>
          </w:p>
        </w:tc>
        <w:tc>
          <w:tcPr>
            <w:tcW w:w="698" w:type="dxa"/>
            <w:vAlign w:val="center"/>
          </w:tcPr>
          <w:p>
            <w:pPr>
              <w:jc w:val="center"/>
              <w:rPr>
                <w:rFonts w:hAnsi="宋体"/>
                <w:sz w:val="24"/>
                <w:szCs w:val="24"/>
              </w:rPr>
            </w:pPr>
            <w:r>
              <w:rPr>
                <w:rFonts w:hint="eastAsia" w:hAnsi="宋体"/>
                <w:sz w:val="24"/>
                <w:szCs w:val="24"/>
              </w:rPr>
              <w:t>2</w:t>
            </w:r>
          </w:p>
        </w:tc>
        <w:tc>
          <w:tcPr>
            <w:tcW w:w="4507" w:type="dxa"/>
            <w:vAlign w:val="center"/>
          </w:tcPr>
          <w:p>
            <w:pPr>
              <w:rPr>
                <w:rFonts w:hAnsi="宋体"/>
                <w:sz w:val="24"/>
                <w:szCs w:val="24"/>
              </w:rPr>
            </w:pPr>
            <w:r>
              <w:rPr>
                <w:rFonts w:hint="eastAsia" w:hAnsi="宋体"/>
                <w:sz w:val="24"/>
                <w:szCs w:val="24"/>
              </w:rPr>
              <w:t>投标文件制作规范，没有细微偏差情形的得2分；有一项细微偏差扣0.2分，扣完为止。</w:t>
            </w:r>
          </w:p>
        </w:tc>
        <w:tc>
          <w:tcPr>
            <w:tcW w:w="1049" w:type="dxa"/>
            <w:vAlign w:val="center"/>
          </w:tcPr>
          <w:p>
            <w:pPr>
              <w:rPr>
                <w:rFonts w:hAnsi="宋体"/>
                <w:sz w:val="24"/>
                <w:szCs w:val="24"/>
              </w:rPr>
            </w:pPr>
          </w:p>
        </w:tc>
      </w:tr>
      <w:bookmarkEnd w:id="98"/>
      <w:bookmarkEnd w:id="99"/>
    </w:tbl>
    <w:p>
      <w:pPr>
        <w:rPr>
          <w:rFonts w:hAnsi="宋体" w:cs="Arial"/>
          <w:sz w:val="18"/>
          <w:szCs w:val="18"/>
        </w:rPr>
      </w:pPr>
    </w:p>
    <w:p>
      <w:pPr>
        <w:rPr>
          <w:rFonts w:hAnsi="宋体" w:cs="Arial"/>
          <w:sz w:val="18"/>
          <w:szCs w:val="18"/>
        </w:rPr>
      </w:pPr>
    </w:p>
    <w:p/>
    <w:p>
      <w:pPr>
        <w:rPr>
          <w:rFonts w:ascii="Times New Roman"/>
        </w:rPr>
      </w:pPr>
    </w:p>
    <w:bookmarkEnd w:id="42"/>
    <w:bookmarkEnd w:id="43"/>
    <w:p>
      <w:bookmarkStart w:id="101" w:name="_Toc217446097"/>
      <w:bookmarkStart w:id="102" w:name="_Toc183682415"/>
      <w:bookmarkStart w:id="103" w:name="_Toc183582280"/>
      <w:bookmarkStart w:id="104" w:name="_Toc208849007"/>
      <w:r>
        <w:t xml:space="preserve"> </w:t>
      </w:r>
    </w:p>
    <w:bookmarkEnd w:id="101"/>
    <w:bookmarkEnd w:id="102"/>
    <w:bookmarkEnd w:id="103"/>
    <w:bookmarkEnd w:id="104"/>
    <w:p>
      <w:pPr>
        <w:rPr>
          <w:sz w:val="30"/>
          <w:szCs w:val="30"/>
        </w:rPr>
      </w:pPr>
    </w:p>
    <w:p>
      <w:pPr>
        <w:pStyle w:val="2"/>
        <w:snapToGrid w:val="0"/>
        <w:spacing w:before="0" w:after="0" w:line="360" w:lineRule="auto"/>
        <w:jc w:val="center"/>
        <w:rPr>
          <w:rFonts w:hAnsi="宋体" w:cs="宋体"/>
          <w:sz w:val="30"/>
          <w:szCs w:val="30"/>
        </w:rPr>
      </w:pPr>
      <w:r>
        <w:rPr>
          <w:rFonts w:hint="eastAsia" w:hAnsi="宋体" w:cs="宋体"/>
          <w:sz w:val="30"/>
          <w:szCs w:val="30"/>
        </w:rPr>
        <w:br w:type="page"/>
      </w:r>
      <w:r>
        <w:rPr>
          <w:rFonts w:hint="eastAsia" w:hAnsi="宋体" w:cs="宋体"/>
          <w:sz w:val="30"/>
          <w:szCs w:val="30"/>
        </w:rPr>
        <w:t>第六章  合同主要条款</w:t>
      </w:r>
    </w:p>
    <w:bookmarkEnd w:id="0"/>
    <w:p>
      <w:pPr>
        <w:spacing w:line="360" w:lineRule="auto"/>
        <w:rPr>
          <w:rFonts w:hAnsi="宋体"/>
          <w:sz w:val="24"/>
          <w:szCs w:val="24"/>
        </w:rPr>
      </w:pPr>
      <w:r>
        <w:rPr>
          <w:rFonts w:hint="eastAsia" w:hAnsi="宋体"/>
          <w:sz w:val="24"/>
          <w:szCs w:val="24"/>
        </w:rPr>
        <w:t xml:space="preserve"> 系统安全等级测评服务合同</w:t>
      </w:r>
    </w:p>
    <w:p>
      <w:pPr>
        <w:spacing w:line="360" w:lineRule="auto"/>
        <w:rPr>
          <w:rFonts w:hAnsi="宋体"/>
          <w:sz w:val="24"/>
          <w:szCs w:val="24"/>
        </w:rPr>
      </w:pPr>
      <w:r>
        <w:rPr>
          <w:rFonts w:hint="eastAsia" w:hAnsi="宋体"/>
          <w:sz w:val="24"/>
          <w:szCs w:val="24"/>
        </w:rPr>
        <w:t xml:space="preserve">甲方：                                </w:t>
      </w:r>
    </w:p>
    <w:p>
      <w:pPr>
        <w:spacing w:line="360" w:lineRule="auto"/>
        <w:rPr>
          <w:rFonts w:hAnsi="宋体"/>
          <w:sz w:val="24"/>
          <w:szCs w:val="24"/>
        </w:rPr>
      </w:pPr>
      <w:r>
        <w:rPr>
          <w:rFonts w:hint="eastAsia" w:hAnsi="宋体"/>
          <w:sz w:val="24"/>
          <w:szCs w:val="24"/>
        </w:rPr>
        <w:t xml:space="preserve">乙方： </w:t>
      </w:r>
    </w:p>
    <w:p>
      <w:pPr>
        <w:spacing w:line="360" w:lineRule="auto"/>
        <w:rPr>
          <w:rFonts w:hAnsi="宋体"/>
          <w:sz w:val="24"/>
          <w:szCs w:val="24"/>
        </w:rPr>
      </w:pPr>
      <w:r>
        <w:rPr>
          <w:rFonts w:hint="eastAsia" w:hAnsi="宋体"/>
          <w:sz w:val="24"/>
          <w:szCs w:val="24"/>
        </w:rPr>
        <w:t>依照《中华人民共和国民法典》及其他有关法律、行政法规、遵循自愿、公平和诚实信用的原则，双方就本项目测评事项协商一致，订立本合同。</w:t>
      </w:r>
    </w:p>
    <w:p>
      <w:pPr>
        <w:spacing w:line="360" w:lineRule="auto"/>
        <w:rPr>
          <w:rFonts w:hAnsi="宋体"/>
          <w:sz w:val="24"/>
          <w:szCs w:val="24"/>
        </w:rPr>
      </w:pPr>
      <w:r>
        <w:rPr>
          <w:rFonts w:hint="eastAsia" w:hAnsi="宋体"/>
          <w:sz w:val="24"/>
          <w:szCs w:val="24"/>
        </w:rPr>
        <w:t>受甲方委托，由乙方根据测评范围对甲方的××××系统（以下简称：本系统）进行等级保护测评。为保证测评过程的顺利进行，现经甲、乙双方平等协商，自愿签订本协议，共同遵守如下条款：</w:t>
      </w:r>
    </w:p>
    <w:p>
      <w:pPr>
        <w:spacing w:line="360" w:lineRule="auto"/>
        <w:rPr>
          <w:rFonts w:hAnsi="宋体"/>
          <w:sz w:val="24"/>
          <w:szCs w:val="24"/>
        </w:rPr>
      </w:pPr>
      <w:r>
        <w:rPr>
          <w:rFonts w:hint="eastAsia" w:hAnsi="宋体"/>
          <w:sz w:val="24"/>
          <w:szCs w:val="24"/>
        </w:rPr>
        <w:t>1．</w:t>
      </w:r>
      <w:bookmarkStart w:id="105" w:name="_Toc339123900"/>
      <w:r>
        <w:rPr>
          <w:rFonts w:hint="eastAsia" w:hAnsi="宋体"/>
          <w:sz w:val="24"/>
          <w:szCs w:val="24"/>
        </w:rPr>
        <w:t>服务</w:t>
      </w:r>
      <w:bookmarkEnd w:id="105"/>
      <w:r>
        <w:rPr>
          <w:rFonts w:hint="eastAsia" w:hAnsi="宋体"/>
          <w:sz w:val="24"/>
          <w:szCs w:val="24"/>
        </w:rPr>
        <w:t>范围</w:t>
      </w:r>
    </w:p>
    <w:p>
      <w:pPr>
        <w:spacing w:line="360" w:lineRule="auto"/>
        <w:rPr>
          <w:rFonts w:hAnsi="宋体"/>
          <w:sz w:val="24"/>
          <w:szCs w:val="24"/>
        </w:rPr>
      </w:pPr>
      <w:r>
        <w:rPr>
          <w:rFonts w:hint="eastAsia" w:hAnsi="宋体"/>
          <w:sz w:val="24"/>
          <w:szCs w:val="24"/>
        </w:rPr>
        <w:t>测评服务：乙方依据《GB/T 22239-2019 信息安全技术 网络安全等级保护基本要求》、《GB/T 28448-2019 信息安全技术 网络安全等级保护测评要求》、《中华人民共和国网络安全法》等有关规定及要求，并且甲方本系统在公安机关获取到系统备案证书或备案证号后,开展符合性等级保护测评工作。</w:t>
      </w:r>
    </w:p>
    <w:p>
      <w:pPr>
        <w:spacing w:line="360" w:lineRule="auto"/>
        <w:rPr>
          <w:rFonts w:hAnsi="宋体"/>
          <w:sz w:val="24"/>
          <w:szCs w:val="24"/>
        </w:rPr>
      </w:pPr>
      <w:r>
        <w:rPr>
          <w:rFonts w:hint="eastAsia" w:hAnsi="宋体"/>
          <w:sz w:val="24"/>
          <w:szCs w:val="24"/>
        </w:rPr>
        <w:t>工作内容：根据《GB/T 22239-2019 信息安全技术 网络安全等级保护基本要求》、《GB/T 28448-2019 信息安全技术 网络安全等级保护测评要求》、《中华人民共和国网络安全法》等有关规定及要求，对本系统进行第三方测评工作，为保证测评的真实性，乙方将客观、公正的对系统开展评估工作，在评估过程中出现的不符合性，乙方将如实反馈并提出相应整改建议，甲方自行开展整改工作。乙方根据甲方实际整改情况出具（优/良/中/差）结论的测评报告。</w:t>
      </w:r>
    </w:p>
    <w:p>
      <w:pPr>
        <w:spacing w:line="360" w:lineRule="auto"/>
        <w:rPr>
          <w:rFonts w:hAnsi="宋体"/>
          <w:sz w:val="24"/>
          <w:szCs w:val="24"/>
        </w:rPr>
      </w:pPr>
      <w:r>
        <w:rPr>
          <w:rFonts w:hint="eastAsia" w:hAnsi="宋体"/>
          <w:sz w:val="24"/>
          <w:szCs w:val="24"/>
        </w:rPr>
        <w:t>测评时间要求：</w:t>
      </w:r>
    </w:p>
    <w:p>
      <w:pPr>
        <w:spacing w:line="360" w:lineRule="auto"/>
        <w:rPr>
          <w:rFonts w:hAnsi="宋体"/>
          <w:sz w:val="24"/>
          <w:szCs w:val="24"/>
        </w:rPr>
      </w:pPr>
      <w:r>
        <w:rPr>
          <w:rFonts w:hint="eastAsia" w:hAnsi="宋体"/>
          <w:sz w:val="24"/>
          <w:szCs w:val="24"/>
        </w:rPr>
        <w:t>若合同签订时间迟于甲方取得备案证时间，则在合同签订后XX个工作日内乙方完成甲方指定系统的预评估；反之，乙方在甲方取得备案证后XX个工作日完成系统预评估工作。</w:t>
      </w:r>
    </w:p>
    <w:p>
      <w:pPr>
        <w:spacing w:line="360" w:lineRule="auto"/>
        <w:rPr>
          <w:rFonts w:hAnsi="宋体"/>
          <w:sz w:val="24"/>
          <w:szCs w:val="24"/>
        </w:rPr>
      </w:pPr>
      <w:r>
        <w:rPr>
          <w:rFonts w:hint="eastAsia" w:hAnsi="宋体"/>
          <w:sz w:val="24"/>
          <w:szCs w:val="24"/>
        </w:rPr>
        <w:t>根据预评估结果，若甲方系统无高风险项并综合评估达到70分以上含70分，乙方在XX个工作日内完成正式测评工作并出具《网络安全等级保护测评报告》（结果为：优、良、中）。若甲方系统存在高风险项并综合评估未能达到GB/T 22239-2019中第2或3级系统的要求，乙方在XX个工作日内出具整改建议；甲方整改完成后3个工作日内通知乙方进场开展正式测评工作，根据公安机关相关要求及规定，本次测评无论测评结论如何，乙方将如实出具《网络安全等级保护测评报告》。</w:t>
      </w:r>
    </w:p>
    <w:p>
      <w:pPr>
        <w:spacing w:line="360" w:lineRule="auto"/>
        <w:rPr>
          <w:rFonts w:hAnsi="宋体"/>
          <w:sz w:val="24"/>
          <w:szCs w:val="24"/>
        </w:rPr>
      </w:pPr>
      <w:r>
        <w:rPr>
          <w:rFonts w:hint="eastAsia" w:hAnsi="宋体"/>
          <w:sz w:val="24"/>
          <w:szCs w:val="24"/>
        </w:rPr>
        <w:t>3.付款方式</w:t>
      </w:r>
    </w:p>
    <w:p>
      <w:pPr>
        <w:spacing w:line="360" w:lineRule="auto"/>
        <w:rPr>
          <w:rFonts w:hAnsi="宋体"/>
          <w:sz w:val="24"/>
          <w:szCs w:val="24"/>
        </w:rPr>
      </w:pPr>
      <w:r>
        <w:rPr>
          <w:rFonts w:hint="eastAsia" w:hAnsi="宋体"/>
          <w:sz w:val="24"/>
          <w:szCs w:val="24"/>
        </w:rPr>
        <w:t>合同总额为人民币：￥     元（大写：    万元整）；</w:t>
      </w:r>
    </w:p>
    <w:p>
      <w:pPr>
        <w:spacing w:line="360" w:lineRule="auto"/>
        <w:rPr>
          <w:rFonts w:hAnsi="宋体"/>
          <w:sz w:val="24"/>
          <w:szCs w:val="24"/>
        </w:rPr>
      </w:pPr>
      <w:r>
        <w:rPr>
          <w:rFonts w:hint="eastAsia" w:hAnsi="宋体"/>
          <w:sz w:val="24"/>
          <w:szCs w:val="24"/>
        </w:rPr>
        <w:t>乙方应向甲方提交相应金额的增值税发票（服务类：6%）。</w:t>
      </w:r>
    </w:p>
    <w:p>
      <w:pPr>
        <w:spacing w:line="360" w:lineRule="auto"/>
        <w:rPr>
          <w:rFonts w:hAnsi="宋体"/>
          <w:sz w:val="24"/>
          <w:szCs w:val="24"/>
        </w:rPr>
      </w:pPr>
      <w:r>
        <w:rPr>
          <w:rFonts w:hint="eastAsia" w:hAnsi="宋体"/>
          <w:sz w:val="24"/>
          <w:szCs w:val="24"/>
        </w:rPr>
        <w:t>合同首付款：甲方应在与乙方签订合同后5个工作日内支付合同总额50%，即：人民币： ￥     元（大写：    万元整）；</w:t>
      </w:r>
    </w:p>
    <w:p>
      <w:pPr>
        <w:spacing w:line="360" w:lineRule="auto"/>
        <w:rPr>
          <w:rFonts w:hAnsi="宋体"/>
          <w:sz w:val="24"/>
          <w:szCs w:val="24"/>
        </w:rPr>
      </w:pPr>
      <w:r>
        <w:rPr>
          <w:rFonts w:hint="eastAsia" w:hAnsi="宋体"/>
          <w:sz w:val="24"/>
          <w:szCs w:val="24"/>
        </w:rPr>
        <w:t>甲方应在乙方完成预测评后5个工作日内支付合同总额40%，即：人民币：￥     元（大写：    万元整）；</w:t>
      </w:r>
    </w:p>
    <w:p>
      <w:pPr>
        <w:spacing w:line="360" w:lineRule="auto"/>
        <w:rPr>
          <w:rFonts w:hAnsi="宋体"/>
          <w:sz w:val="24"/>
          <w:szCs w:val="24"/>
        </w:rPr>
      </w:pPr>
      <w:r>
        <w:rPr>
          <w:rFonts w:hint="eastAsia" w:hAnsi="宋体"/>
          <w:sz w:val="24"/>
          <w:szCs w:val="24"/>
        </w:rPr>
        <w:t>甲方应在乙方完成测评工作且提交了《网络安全等级保护测评报告》后5个工作日内支付合同总额10%，即：人民币：￥     元（大写：    万元整）。</w:t>
      </w:r>
    </w:p>
    <w:p>
      <w:pPr>
        <w:spacing w:line="360" w:lineRule="auto"/>
        <w:rPr>
          <w:rFonts w:hAnsi="宋体"/>
          <w:sz w:val="24"/>
          <w:szCs w:val="24"/>
        </w:rPr>
      </w:pPr>
    </w:p>
    <w:p>
      <w:pPr>
        <w:spacing w:line="360" w:lineRule="auto"/>
        <w:rPr>
          <w:rFonts w:hAnsi="宋体"/>
          <w:sz w:val="24"/>
          <w:szCs w:val="24"/>
        </w:rPr>
      </w:pPr>
      <w:r>
        <w:rPr>
          <w:rFonts w:hint="eastAsia" w:hAnsi="宋体"/>
          <w:sz w:val="24"/>
          <w:szCs w:val="24"/>
        </w:rPr>
        <w:t>5．保证条款</w:t>
      </w:r>
    </w:p>
    <w:p>
      <w:pPr>
        <w:spacing w:line="360" w:lineRule="auto"/>
        <w:rPr>
          <w:rFonts w:hAnsi="宋体"/>
          <w:sz w:val="24"/>
          <w:szCs w:val="24"/>
        </w:rPr>
      </w:pPr>
      <w:r>
        <w:rPr>
          <w:rFonts w:hint="eastAsia" w:hAnsi="宋体"/>
          <w:sz w:val="24"/>
          <w:szCs w:val="24"/>
        </w:rPr>
        <w:t>1） 乙方保证在为甲方提供服务过程中所使用的产品、资料、技术不涉及任何第三方利益、不侵犯任何第三方的知识产权和其他权益，且不存在任何与此相关的争议，若乙方违反上述保证给甲方造成损失，乙方应负责赔偿。</w:t>
      </w:r>
    </w:p>
    <w:p>
      <w:pPr>
        <w:spacing w:line="360" w:lineRule="auto"/>
        <w:rPr>
          <w:rFonts w:hAnsi="宋体"/>
          <w:sz w:val="24"/>
          <w:szCs w:val="24"/>
        </w:rPr>
      </w:pPr>
      <w:r>
        <w:rPr>
          <w:rFonts w:hint="eastAsia" w:hAnsi="宋体"/>
          <w:sz w:val="24"/>
          <w:szCs w:val="24"/>
        </w:rPr>
        <w:t>2） 甲方、乙方依照本合同约定解除合同或本合同履行完毕后，本保证条款仍然有效，不受本合同期限的限制。</w:t>
      </w:r>
    </w:p>
    <w:p>
      <w:pPr>
        <w:spacing w:line="360" w:lineRule="auto"/>
        <w:rPr>
          <w:rFonts w:hAnsi="宋体"/>
          <w:sz w:val="24"/>
          <w:szCs w:val="24"/>
        </w:rPr>
      </w:pPr>
      <w:r>
        <w:rPr>
          <w:rFonts w:hint="eastAsia" w:hAnsi="宋体"/>
          <w:sz w:val="24"/>
          <w:szCs w:val="24"/>
        </w:rPr>
        <w:t>6．保密条款</w:t>
      </w:r>
    </w:p>
    <w:p>
      <w:pPr>
        <w:spacing w:line="360" w:lineRule="auto"/>
        <w:rPr>
          <w:rFonts w:hAnsi="宋体"/>
          <w:sz w:val="24"/>
          <w:szCs w:val="24"/>
        </w:rPr>
      </w:pPr>
      <w:r>
        <w:rPr>
          <w:rFonts w:hint="eastAsia" w:hAnsi="宋体"/>
          <w:sz w:val="24"/>
          <w:szCs w:val="24"/>
        </w:rPr>
        <w:t>1） 本条所称“商业秘密”指甲、乙双方各自所拥有的，不为公众所知的管理信息、方式方法、客户信息、商业数据、产品信息、销售渠道、技术诀窍等，或由甲、乙双方在履行本合同过程中明确为商业秘密的或为法律所认可的任何信息。</w:t>
      </w:r>
    </w:p>
    <w:p>
      <w:pPr>
        <w:spacing w:line="360" w:lineRule="auto"/>
        <w:rPr>
          <w:rFonts w:hAnsi="宋体"/>
          <w:sz w:val="24"/>
          <w:szCs w:val="24"/>
        </w:rPr>
      </w:pPr>
      <w:r>
        <w:rPr>
          <w:rFonts w:hint="eastAsia" w:hAnsi="宋体"/>
          <w:sz w:val="24"/>
          <w:szCs w:val="24"/>
        </w:rPr>
        <w:t>2） 在本合同履行期内，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本合同终止后，一方应立即归还从对方处获得的一切保密信息（测评记录除外），或以对方认可的方式进行销毁。</w:t>
      </w:r>
    </w:p>
    <w:p>
      <w:pPr>
        <w:spacing w:line="360" w:lineRule="auto"/>
        <w:rPr>
          <w:rFonts w:hAnsi="宋体"/>
          <w:sz w:val="24"/>
          <w:szCs w:val="24"/>
        </w:rPr>
      </w:pPr>
      <w:r>
        <w:rPr>
          <w:rFonts w:hint="eastAsia" w:hAnsi="宋体"/>
          <w:sz w:val="24"/>
          <w:szCs w:val="24"/>
        </w:rPr>
        <w:t>3） 乙方有义务对甲方提交的任何文档资料以及检测评估数据与结果保密，严格依照《中华人民共和国保密法》相关内容执行，以确保任何相关技术及业务文档不得泄露。未经甲方同意，严禁将任何相关技术及业务文档向任何第三方透露或用于其他商业用途，并承担由此产生的一切损失。</w:t>
      </w:r>
    </w:p>
    <w:p>
      <w:pPr>
        <w:spacing w:line="360" w:lineRule="auto"/>
        <w:rPr>
          <w:rFonts w:hAnsi="宋体"/>
          <w:sz w:val="24"/>
          <w:szCs w:val="24"/>
        </w:rPr>
      </w:pPr>
      <w:r>
        <w:rPr>
          <w:rFonts w:hint="eastAsia" w:hAnsi="宋体"/>
          <w:sz w:val="24"/>
          <w:szCs w:val="24"/>
        </w:rPr>
        <w:t>4） 甲方、乙方依照本合同约定解除合同或本合同履行完毕后，本保密条款仍然有效，保密信息接收方仍应承担保密义务。</w:t>
      </w:r>
    </w:p>
    <w:p>
      <w:pPr>
        <w:spacing w:line="360" w:lineRule="auto"/>
        <w:rPr>
          <w:rFonts w:hAnsi="宋体"/>
          <w:sz w:val="24"/>
          <w:szCs w:val="24"/>
        </w:rPr>
      </w:pPr>
      <w:r>
        <w:rPr>
          <w:rFonts w:hint="eastAsia" w:hAnsi="宋体"/>
          <w:sz w:val="24"/>
          <w:szCs w:val="24"/>
        </w:rPr>
        <w:t>7．违约责任</w:t>
      </w:r>
    </w:p>
    <w:p>
      <w:pPr>
        <w:spacing w:line="360" w:lineRule="auto"/>
        <w:rPr>
          <w:rFonts w:hAnsi="宋体"/>
          <w:sz w:val="24"/>
          <w:szCs w:val="24"/>
        </w:rPr>
      </w:pPr>
      <w:r>
        <w:rPr>
          <w:rFonts w:hint="eastAsia" w:hAnsi="宋体"/>
          <w:sz w:val="24"/>
          <w:szCs w:val="24"/>
        </w:rPr>
        <w:t>甲方如未按合同要求及时提供相应协作支持，造成项目工期延误或评估服务异常终止，甲方应承担相应责任。甲方所承担的责任以甲方应支付的服务费为限。造成乙方增加评测工作量及人员投入的，双方应协商适当追加服务费用。</w:t>
      </w:r>
    </w:p>
    <w:p>
      <w:pPr>
        <w:spacing w:line="360" w:lineRule="auto"/>
        <w:rPr>
          <w:rFonts w:hAnsi="宋体"/>
          <w:sz w:val="24"/>
          <w:szCs w:val="24"/>
        </w:rPr>
      </w:pPr>
      <w:r>
        <w:rPr>
          <w:rFonts w:hint="eastAsia" w:hAnsi="宋体"/>
          <w:sz w:val="24"/>
          <w:szCs w:val="24"/>
        </w:rPr>
        <w:t>乙方如因自身原因逾期提交《网络安全等级保护测评报告》的（因不可抗力或甲方原因造成逾期的除外）,双方应协商后，乙方向甲方支付适当的违约金。</w:t>
      </w:r>
    </w:p>
    <w:p>
      <w:pPr>
        <w:spacing w:line="360" w:lineRule="auto"/>
        <w:rPr>
          <w:rFonts w:hAnsi="宋体"/>
          <w:sz w:val="24"/>
          <w:szCs w:val="24"/>
        </w:rPr>
      </w:pPr>
      <w:r>
        <w:rPr>
          <w:rFonts w:hint="eastAsia" w:hAnsi="宋体"/>
          <w:sz w:val="24"/>
          <w:szCs w:val="24"/>
        </w:rPr>
        <w:t>如任何一方无故单方面解除合同，应向对方支付合同金额30%的违约金。</w:t>
      </w:r>
    </w:p>
    <w:p>
      <w:pPr>
        <w:spacing w:line="360" w:lineRule="auto"/>
        <w:rPr>
          <w:rFonts w:hAnsi="宋体"/>
          <w:sz w:val="24"/>
          <w:szCs w:val="24"/>
        </w:rPr>
      </w:pPr>
      <w:r>
        <w:rPr>
          <w:rFonts w:hint="eastAsia" w:hAnsi="宋体"/>
          <w:sz w:val="24"/>
          <w:szCs w:val="24"/>
        </w:rPr>
        <w:t>8．纠纷解决</w:t>
      </w:r>
    </w:p>
    <w:p>
      <w:pPr>
        <w:spacing w:line="360" w:lineRule="auto"/>
        <w:rPr>
          <w:rFonts w:hAnsi="宋体"/>
          <w:sz w:val="24"/>
          <w:szCs w:val="24"/>
        </w:rPr>
      </w:pPr>
      <w:r>
        <w:rPr>
          <w:rFonts w:hint="eastAsia" w:hAnsi="宋体"/>
          <w:sz w:val="24"/>
          <w:szCs w:val="24"/>
        </w:rPr>
        <w:t>凡因本合同引起的或与本合同有关的任何争议，双方同意以诚信的态度协商解决。30天内仍协商不成的，依法向甲方所在地人民法院起诉。</w:t>
      </w:r>
    </w:p>
    <w:p>
      <w:pPr>
        <w:spacing w:line="360" w:lineRule="auto"/>
        <w:rPr>
          <w:rFonts w:hAnsi="宋体"/>
          <w:sz w:val="24"/>
          <w:szCs w:val="24"/>
        </w:rPr>
      </w:pPr>
      <w:r>
        <w:rPr>
          <w:rFonts w:hint="eastAsia" w:hAnsi="宋体"/>
          <w:sz w:val="24"/>
          <w:szCs w:val="24"/>
        </w:rPr>
        <w:t>9．合同生效、终止</w:t>
      </w:r>
    </w:p>
    <w:p>
      <w:pPr>
        <w:spacing w:line="360" w:lineRule="auto"/>
        <w:rPr>
          <w:rFonts w:hAnsi="宋体"/>
          <w:sz w:val="24"/>
          <w:szCs w:val="24"/>
        </w:rPr>
      </w:pPr>
      <w:r>
        <w:rPr>
          <w:rFonts w:hint="eastAsia" w:hAnsi="宋体"/>
          <w:sz w:val="24"/>
          <w:szCs w:val="24"/>
        </w:rPr>
        <w:t>1) 本合同一经签署，未经双方同意，任何一方不得随意更改。本合同所列的附件为本合同不可分割的组成部分，与本合同具有同等的法律效力。如本合同在履行过程中有任何变更、补充或修改，双方应另行签订书面协议。</w:t>
      </w:r>
    </w:p>
    <w:p>
      <w:pPr>
        <w:spacing w:line="360" w:lineRule="auto"/>
        <w:rPr>
          <w:rFonts w:hAnsi="宋体"/>
          <w:sz w:val="24"/>
          <w:szCs w:val="24"/>
        </w:rPr>
      </w:pPr>
      <w:r>
        <w:rPr>
          <w:rFonts w:hint="eastAsia" w:hAnsi="宋体"/>
          <w:sz w:val="24"/>
          <w:szCs w:val="24"/>
        </w:rPr>
        <w:t>2) 如发生以下情况，任何一方有权终止合同，但须以书面形式通知对方：</w:t>
      </w:r>
    </w:p>
    <w:p>
      <w:pPr>
        <w:spacing w:line="360" w:lineRule="auto"/>
        <w:rPr>
          <w:rFonts w:hAnsi="宋体"/>
          <w:sz w:val="24"/>
          <w:szCs w:val="24"/>
        </w:rPr>
      </w:pPr>
      <w:r>
        <w:rPr>
          <w:rFonts w:hint="eastAsia" w:hAnsi="宋体"/>
          <w:sz w:val="24"/>
          <w:szCs w:val="24"/>
        </w:rPr>
        <w:t>一方进入破产、撤销或已进入清算阶段，或被解散、被依法关闭；一方财务状况严重恶化，不能支付到期债务；出现了本合同规定的或法定解除事由。</w:t>
      </w:r>
    </w:p>
    <w:p>
      <w:pPr>
        <w:spacing w:line="360" w:lineRule="auto"/>
        <w:rPr>
          <w:rFonts w:hAnsi="宋体"/>
          <w:sz w:val="24"/>
          <w:szCs w:val="24"/>
        </w:rPr>
      </w:pPr>
      <w:r>
        <w:rPr>
          <w:rFonts w:hint="eastAsia" w:hAnsi="宋体"/>
          <w:sz w:val="24"/>
          <w:szCs w:val="24"/>
        </w:rPr>
        <w:t>3） 本合同共     页，一式    （中文大写）份具有同等法律效力，甲方执   份，乙方执  份。本合同经双方签字盖章后生效，未尽事宜双方友好协商解决。</w:t>
      </w:r>
    </w:p>
    <w:p>
      <w:pPr>
        <w:spacing w:line="360" w:lineRule="auto"/>
        <w:rPr>
          <w:rFonts w:hAnsi="宋体"/>
          <w:sz w:val="24"/>
          <w:szCs w:val="24"/>
        </w:rPr>
      </w:pPr>
    </w:p>
    <w:p>
      <w:pPr>
        <w:spacing w:line="360" w:lineRule="auto"/>
        <w:rPr>
          <w:rFonts w:hAnsi="宋体"/>
          <w:sz w:val="24"/>
          <w:szCs w:val="24"/>
        </w:rPr>
      </w:pPr>
      <w:r>
        <w:rPr>
          <w:rFonts w:hint="eastAsia" w:hAnsi="宋体"/>
          <w:sz w:val="24"/>
          <w:szCs w:val="24"/>
        </w:rPr>
        <w:t>以上合同内容仅做参考，以实际签订为准。</w:t>
      </w:r>
    </w:p>
    <w:p>
      <w:pPr>
        <w:spacing w:line="360" w:lineRule="auto"/>
        <w:rPr>
          <w:rFonts w:hAnsi="宋体"/>
          <w:sz w:val="24"/>
          <w:szCs w:val="24"/>
        </w:rPr>
      </w:pPr>
    </w:p>
    <w:sectPr>
      <w:pgSz w:w="11906" w:h="16838"/>
      <w:pgMar w:top="1083" w:right="1440" w:bottom="1083" w:left="1440"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8585" cy="280035"/>
              <wp:effectExtent l="0" t="0" r="0" b="0"/>
              <wp:wrapNone/>
              <wp:docPr id="3" name="矩形 1"/>
              <wp:cNvGraphicFramePr/>
              <a:graphic xmlns:a="http://schemas.openxmlformats.org/drawingml/2006/main">
                <a:graphicData uri="http://schemas.microsoft.com/office/word/2010/wordprocessingShape">
                  <wps:wsp>
                    <wps:cNvSpPr>
                      <a:spLocks noChangeArrowheads="1"/>
                    </wps:cNvSpPr>
                    <wps:spPr bwMode="auto">
                      <a:xfrm>
                        <a:off x="0" y="0"/>
                        <a:ext cx="10858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1" o:spid="_x0000_s1026" o:spt="1" style="position:absolute;left:0pt;margin-top:0pt;height:22.05pt;width:8.55pt;mso-position-horizontal:center;mso-position-horizontal-relative:margin;mso-wrap-style:none;z-index:251659264;mso-width-relative:page;mso-height-relative:page;" filled="f" stroked="f" coordsize="21600,21600" o:gfxdata="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0F47tEAAAADAQAADwAAAAAAAAABACAAAAAiAAAAZHJzL2Rvd25yZXYueG1s&#10;UEsBAhQAFAAAAAgAh07iQJabwZv/AQAA9QMAAA4AAAAAAAAAAQAgAAAAIAEAAGRycy9lMm9Eb2Mu&#10;eG1sUEsFBgAAAAAGAAYAWQEAAJ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8585" cy="280035"/>
              <wp:effectExtent l="0" t="0" r="0" b="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0858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22.05pt;width:8.55pt;mso-position-horizontal:center;mso-position-horizontal-relative:margin;mso-wrap-style:none;z-index:251660288;mso-width-relative:page;mso-height-relative:page;" filled="f" stroked="f" coordsize="21600,21600" o:gfxdata="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QXju0QAAAAMBAAAPAAAAAAAAAAEAIAAAACIAAABkcnMvZG93bnJldi54&#10;bWxQSwECFAAUAAAACACHTuJAA38k6QECAAD1AwAADgAAAAAAAAABACAAAAAgAQAAZHJzL2Uyb0Rv&#10;Yy54bWxQSwUGAAAAAAYABgBZAQAAk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6535" cy="280035"/>
              <wp:effectExtent l="0" t="0" r="0" b="0"/>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37</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60288;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37</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rPr>
        <w:rFonts w:hAnsi="宋体"/>
      </w:rPr>
    </w:pPr>
    <w:r>
      <w:rPr>
        <w:rFonts w:hint="eastAsia" w:hAnsi="宋体"/>
        <w:lang w:val="en-US" w:eastAsia="zh-CN"/>
      </w:rPr>
      <w:t>2022年官网三级测评服务</w:t>
    </w:r>
    <w:r>
      <w:rPr>
        <w:rFonts w:hint="eastAsia" w:hAnsi="宋体"/>
      </w:rPr>
      <w:t>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1">
    <w:nsid w:val="00000002"/>
    <w:multiLevelType w:val="multilevel"/>
    <w:tmpl w:val="00000002"/>
    <w:lvl w:ilvl="0" w:tentative="0">
      <w:start w:val="5"/>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2">
    <w:nsid w:val="00000003"/>
    <w:multiLevelType w:val="singleLevel"/>
    <w:tmpl w:val="00000003"/>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237"/>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MDdiNTczMDY5YzkyODlhZjc3MmVlMzFhZTAyZTgifQ=="/>
  </w:docVars>
  <w:rsids>
    <w:rsidRoot w:val="00172A27"/>
    <w:rsid w:val="0000002B"/>
    <w:rsid w:val="0000130C"/>
    <w:rsid w:val="00002CEB"/>
    <w:rsid w:val="00006BB4"/>
    <w:rsid w:val="0001189E"/>
    <w:rsid w:val="00013F1F"/>
    <w:rsid w:val="00020591"/>
    <w:rsid w:val="00022579"/>
    <w:rsid w:val="000227F3"/>
    <w:rsid w:val="0002616D"/>
    <w:rsid w:val="000300FA"/>
    <w:rsid w:val="00034E6A"/>
    <w:rsid w:val="00037883"/>
    <w:rsid w:val="000414D3"/>
    <w:rsid w:val="00046271"/>
    <w:rsid w:val="0004731A"/>
    <w:rsid w:val="000528A9"/>
    <w:rsid w:val="00055134"/>
    <w:rsid w:val="00062B97"/>
    <w:rsid w:val="00062DC1"/>
    <w:rsid w:val="00074602"/>
    <w:rsid w:val="00083A44"/>
    <w:rsid w:val="000921E3"/>
    <w:rsid w:val="000955D2"/>
    <w:rsid w:val="000A1BAE"/>
    <w:rsid w:val="000A6FD8"/>
    <w:rsid w:val="000B2D46"/>
    <w:rsid w:val="000B4E4E"/>
    <w:rsid w:val="000C3891"/>
    <w:rsid w:val="000C62FD"/>
    <w:rsid w:val="000D2AF2"/>
    <w:rsid w:val="000D3C29"/>
    <w:rsid w:val="000D50C8"/>
    <w:rsid w:val="000E1691"/>
    <w:rsid w:val="000E3A51"/>
    <w:rsid w:val="000F0B31"/>
    <w:rsid w:val="001039C5"/>
    <w:rsid w:val="00104D52"/>
    <w:rsid w:val="001063D3"/>
    <w:rsid w:val="00115F7B"/>
    <w:rsid w:val="0011612A"/>
    <w:rsid w:val="001254DA"/>
    <w:rsid w:val="001269FA"/>
    <w:rsid w:val="00142405"/>
    <w:rsid w:val="001433DB"/>
    <w:rsid w:val="0014556F"/>
    <w:rsid w:val="00146927"/>
    <w:rsid w:val="00157635"/>
    <w:rsid w:val="00161C62"/>
    <w:rsid w:val="00170181"/>
    <w:rsid w:val="00170599"/>
    <w:rsid w:val="00172A27"/>
    <w:rsid w:val="00181E14"/>
    <w:rsid w:val="00185388"/>
    <w:rsid w:val="00187FF5"/>
    <w:rsid w:val="001943F1"/>
    <w:rsid w:val="001A1B4E"/>
    <w:rsid w:val="001A1EDF"/>
    <w:rsid w:val="001A3304"/>
    <w:rsid w:val="001C4C5D"/>
    <w:rsid w:val="001C7FAD"/>
    <w:rsid w:val="001D6CA0"/>
    <w:rsid w:val="001E077D"/>
    <w:rsid w:val="001E1AA2"/>
    <w:rsid w:val="001E21F9"/>
    <w:rsid w:val="0021094F"/>
    <w:rsid w:val="002114B9"/>
    <w:rsid w:val="002126F4"/>
    <w:rsid w:val="00212A90"/>
    <w:rsid w:val="0021517F"/>
    <w:rsid w:val="00215D24"/>
    <w:rsid w:val="00230F74"/>
    <w:rsid w:val="00231CEA"/>
    <w:rsid w:val="00242F03"/>
    <w:rsid w:val="002460CC"/>
    <w:rsid w:val="00252539"/>
    <w:rsid w:val="002619F7"/>
    <w:rsid w:val="00262EA4"/>
    <w:rsid w:val="0026543D"/>
    <w:rsid w:val="002740EE"/>
    <w:rsid w:val="002802D2"/>
    <w:rsid w:val="002932A5"/>
    <w:rsid w:val="002945D4"/>
    <w:rsid w:val="00294B1F"/>
    <w:rsid w:val="00297578"/>
    <w:rsid w:val="002A6490"/>
    <w:rsid w:val="002C218B"/>
    <w:rsid w:val="002D130C"/>
    <w:rsid w:val="002D59C3"/>
    <w:rsid w:val="002F00A3"/>
    <w:rsid w:val="002F0821"/>
    <w:rsid w:val="002F3A9D"/>
    <w:rsid w:val="00302533"/>
    <w:rsid w:val="00303BEC"/>
    <w:rsid w:val="003049B5"/>
    <w:rsid w:val="00305E80"/>
    <w:rsid w:val="0031337F"/>
    <w:rsid w:val="00314D2B"/>
    <w:rsid w:val="00315BFD"/>
    <w:rsid w:val="003255B1"/>
    <w:rsid w:val="00330AB4"/>
    <w:rsid w:val="00341D9C"/>
    <w:rsid w:val="0034225C"/>
    <w:rsid w:val="003426C9"/>
    <w:rsid w:val="0034384C"/>
    <w:rsid w:val="00351B66"/>
    <w:rsid w:val="0035428C"/>
    <w:rsid w:val="00374997"/>
    <w:rsid w:val="00376338"/>
    <w:rsid w:val="00377035"/>
    <w:rsid w:val="00381D3D"/>
    <w:rsid w:val="0038282C"/>
    <w:rsid w:val="003A7DA1"/>
    <w:rsid w:val="003C1FED"/>
    <w:rsid w:val="003C2094"/>
    <w:rsid w:val="003C2A1E"/>
    <w:rsid w:val="003C4155"/>
    <w:rsid w:val="003C49AF"/>
    <w:rsid w:val="003D00DA"/>
    <w:rsid w:val="003D11A5"/>
    <w:rsid w:val="003D4974"/>
    <w:rsid w:val="003D6934"/>
    <w:rsid w:val="003E1BF9"/>
    <w:rsid w:val="003E1C27"/>
    <w:rsid w:val="003E40BA"/>
    <w:rsid w:val="00402951"/>
    <w:rsid w:val="0040317E"/>
    <w:rsid w:val="0041087A"/>
    <w:rsid w:val="00412E90"/>
    <w:rsid w:val="00423D03"/>
    <w:rsid w:val="004250DD"/>
    <w:rsid w:val="004368FD"/>
    <w:rsid w:val="00441812"/>
    <w:rsid w:val="00450DBA"/>
    <w:rsid w:val="00451066"/>
    <w:rsid w:val="00461A05"/>
    <w:rsid w:val="0046280F"/>
    <w:rsid w:val="00470B8D"/>
    <w:rsid w:val="00472F2E"/>
    <w:rsid w:val="00477BEA"/>
    <w:rsid w:val="00484F83"/>
    <w:rsid w:val="004856D2"/>
    <w:rsid w:val="004962F7"/>
    <w:rsid w:val="004A0487"/>
    <w:rsid w:val="004A550E"/>
    <w:rsid w:val="004A58BA"/>
    <w:rsid w:val="004A6FB5"/>
    <w:rsid w:val="004B0DBB"/>
    <w:rsid w:val="004B6322"/>
    <w:rsid w:val="004C78BA"/>
    <w:rsid w:val="004D0C88"/>
    <w:rsid w:val="004D2F1C"/>
    <w:rsid w:val="004E0404"/>
    <w:rsid w:val="004E54D8"/>
    <w:rsid w:val="004F0192"/>
    <w:rsid w:val="004F3B9B"/>
    <w:rsid w:val="004F5512"/>
    <w:rsid w:val="004F718A"/>
    <w:rsid w:val="004F77FE"/>
    <w:rsid w:val="00500C65"/>
    <w:rsid w:val="00503ADD"/>
    <w:rsid w:val="00510855"/>
    <w:rsid w:val="0051463D"/>
    <w:rsid w:val="005204C5"/>
    <w:rsid w:val="00523D5E"/>
    <w:rsid w:val="00525356"/>
    <w:rsid w:val="00526EF1"/>
    <w:rsid w:val="00547EEE"/>
    <w:rsid w:val="00551968"/>
    <w:rsid w:val="005523F9"/>
    <w:rsid w:val="00557E4F"/>
    <w:rsid w:val="00565D29"/>
    <w:rsid w:val="0057392A"/>
    <w:rsid w:val="0057670A"/>
    <w:rsid w:val="0058164F"/>
    <w:rsid w:val="00581EB4"/>
    <w:rsid w:val="0058553A"/>
    <w:rsid w:val="00587168"/>
    <w:rsid w:val="00593373"/>
    <w:rsid w:val="005948F3"/>
    <w:rsid w:val="005A011C"/>
    <w:rsid w:val="005A1491"/>
    <w:rsid w:val="005C0690"/>
    <w:rsid w:val="005D1C8A"/>
    <w:rsid w:val="005D58A5"/>
    <w:rsid w:val="005D660E"/>
    <w:rsid w:val="005D76BC"/>
    <w:rsid w:val="005E73D1"/>
    <w:rsid w:val="005F3651"/>
    <w:rsid w:val="005F6C38"/>
    <w:rsid w:val="005F6D20"/>
    <w:rsid w:val="0060268B"/>
    <w:rsid w:val="006076D0"/>
    <w:rsid w:val="00625CBE"/>
    <w:rsid w:val="006271F2"/>
    <w:rsid w:val="0064264A"/>
    <w:rsid w:val="006430E9"/>
    <w:rsid w:val="0064548D"/>
    <w:rsid w:val="006751C2"/>
    <w:rsid w:val="0068224E"/>
    <w:rsid w:val="00686C09"/>
    <w:rsid w:val="00691FBB"/>
    <w:rsid w:val="006A04FB"/>
    <w:rsid w:val="006A5BA0"/>
    <w:rsid w:val="006B3B23"/>
    <w:rsid w:val="006B599C"/>
    <w:rsid w:val="006B634A"/>
    <w:rsid w:val="006B64B2"/>
    <w:rsid w:val="006C59D1"/>
    <w:rsid w:val="006C5A0C"/>
    <w:rsid w:val="006C7451"/>
    <w:rsid w:val="006E3DDB"/>
    <w:rsid w:val="006F06EF"/>
    <w:rsid w:val="006F4716"/>
    <w:rsid w:val="00722B66"/>
    <w:rsid w:val="00731735"/>
    <w:rsid w:val="0073225A"/>
    <w:rsid w:val="00735742"/>
    <w:rsid w:val="00737A85"/>
    <w:rsid w:val="00740C17"/>
    <w:rsid w:val="007432C8"/>
    <w:rsid w:val="00755940"/>
    <w:rsid w:val="00764FE2"/>
    <w:rsid w:val="0076501E"/>
    <w:rsid w:val="00766E0A"/>
    <w:rsid w:val="00767976"/>
    <w:rsid w:val="00771D10"/>
    <w:rsid w:val="00786217"/>
    <w:rsid w:val="00787F1E"/>
    <w:rsid w:val="0079038B"/>
    <w:rsid w:val="00793B0F"/>
    <w:rsid w:val="00793DCC"/>
    <w:rsid w:val="007956B7"/>
    <w:rsid w:val="00795857"/>
    <w:rsid w:val="007966A9"/>
    <w:rsid w:val="00797DC9"/>
    <w:rsid w:val="007B220D"/>
    <w:rsid w:val="007D1094"/>
    <w:rsid w:val="007D60BE"/>
    <w:rsid w:val="007E3542"/>
    <w:rsid w:val="007F62D2"/>
    <w:rsid w:val="00801A63"/>
    <w:rsid w:val="00811BD8"/>
    <w:rsid w:val="00813B13"/>
    <w:rsid w:val="00815FBB"/>
    <w:rsid w:val="0081612B"/>
    <w:rsid w:val="00823CD6"/>
    <w:rsid w:val="008274D0"/>
    <w:rsid w:val="0083444A"/>
    <w:rsid w:val="008351A2"/>
    <w:rsid w:val="008376FA"/>
    <w:rsid w:val="008465E2"/>
    <w:rsid w:val="00850AE8"/>
    <w:rsid w:val="0085182D"/>
    <w:rsid w:val="00852219"/>
    <w:rsid w:val="00854B0E"/>
    <w:rsid w:val="0085681F"/>
    <w:rsid w:val="00861B35"/>
    <w:rsid w:val="00861D35"/>
    <w:rsid w:val="008705D4"/>
    <w:rsid w:val="008721DC"/>
    <w:rsid w:val="008823F5"/>
    <w:rsid w:val="008826E8"/>
    <w:rsid w:val="0088733B"/>
    <w:rsid w:val="008919E6"/>
    <w:rsid w:val="00896B9F"/>
    <w:rsid w:val="008A3275"/>
    <w:rsid w:val="008A372A"/>
    <w:rsid w:val="008A775B"/>
    <w:rsid w:val="008B3F4F"/>
    <w:rsid w:val="008B6A28"/>
    <w:rsid w:val="008C1D5C"/>
    <w:rsid w:val="008C3430"/>
    <w:rsid w:val="008C4C5D"/>
    <w:rsid w:val="008C64DA"/>
    <w:rsid w:val="008D4B57"/>
    <w:rsid w:val="008E283A"/>
    <w:rsid w:val="008E4CE7"/>
    <w:rsid w:val="008F1768"/>
    <w:rsid w:val="008F483A"/>
    <w:rsid w:val="008F5D03"/>
    <w:rsid w:val="00900A6F"/>
    <w:rsid w:val="00907738"/>
    <w:rsid w:val="009123FA"/>
    <w:rsid w:val="00916D1E"/>
    <w:rsid w:val="009175D5"/>
    <w:rsid w:val="00927129"/>
    <w:rsid w:val="0093288F"/>
    <w:rsid w:val="00933F1C"/>
    <w:rsid w:val="00935B90"/>
    <w:rsid w:val="0094290F"/>
    <w:rsid w:val="009473DC"/>
    <w:rsid w:val="00953907"/>
    <w:rsid w:val="009541A1"/>
    <w:rsid w:val="00956628"/>
    <w:rsid w:val="00956AE4"/>
    <w:rsid w:val="00964782"/>
    <w:rsid w:val="00973B41"/>
    <w:rsid w:val="00983489"/>
    <w:rsid w:val="0099747D"/>
    <w:rsid w:val="009976EE"/>
    <w:rsid w:val="009A09BA"/>
    <w:rsid w:val="009A1D9D"/>
    <w:rsid w:val="009A21CB"/>
    <w:rsid w:val="009A24D0"/>
    <w:rsid w:val="009B7EC9"/>
    <w:rsid w:val="009C58F4"/>
    <w:rsid w:val="009D1F47"/>
    <w:rsid w:val="009D23DB"/>
    <w:rsid w:val="009D4EE9"/>
    <w:rsid w:val="009E6E82"/>
    <w:rsid w:val="009F5B15"/>
    <w:rsid w:val="009F639B"/>
    <w:rsid w:val="00A0208D"/>
    <w:rsid w:val="00A03414"/>
    <w:rsid w:val="00A0404A"/>
    <w:rsid w:val="00A075C3"/>
    <w:rsid w:val="00A114E0"/>
    <w:rsid w:val="00A11CF0"/>
    <w:rsid w:val="00A13D90"/>
    <w:rsid w:val="00A17735"/>
    <w:rsid w:val="00A2152A"/>
    <w:rsid w:val="00A22850"/>
    <w:rsid w:val="00A23C2C"/>
    <w:rsid w:val="00A24457"/>
    <w:rsid w:val="00A25517"/>
    <w:rsid w:val="00A26126"/>
    <w:rsid w:val="00A27709"/>
    <w:rsid w:val="00A373AD"/>
    <w:rsid w:val="00A415A9"/>
    <w:rsid w:val="00A52B23"/>
    <w:rsid w:val="00A57A27"/>
    <w:rsid w:val="00A62532"/>
    <w:rsid w:val="00A63F17"/>
    <w:rsid w:val="00A668E5"/>
    <w:rsid w:val="00A7009A"/>
    <w:rsid w:val="00A87813"/>
    <w:rsid w:val="00A92172"/>
    <w:rsid w:val="00A9666E"/>
    <w:rsid w:val="00AA1D32"/>
    <w:rsid w:val="00AA4F6C"/>
    <w:rsid w:val="00AE0E42"/>
    <w:rsid w:val="00AE5591"/>
    <w:rsid w:val="00AE78D7"/>
    <w:rsid w:val="00B056AA"/>
    <w:rsid w:val="00B10AC3"/>
    <w:rsid w:val="00B164B5"/>
    <w:rsid w:val="00B30037"/>
    <w:rsid w:val="00B311FB"/>
    <w:rsid w:val="00B358B0"/>
    <w:rsid w:val="00B35C4C"/>
    <w:rsid w:val="00B634A6"/>
    <w:rsid w:val="00B66737"/>
    <w:rsid w:val="00B6733D"/>
    <w:rsid w:val="00B90D3F"/>
    <w:rsid w:val="00B92137"/>
    <w:rsid w:val="00BA04EB"/>
    <w:rsid w:val="00BA1E3F"/>
    <w:rsid w:val="00BA7A4D"/>
    <w:rsid w:val="00BB1E7C"/>
    <w:rsid w:val="00BC383A"/>
    <w:rsid w:val="00BD2B90"/>
    <w:rsid w:val="00BD6E89"/>
    <w:rsid w:val="00BE0CDD"/>
    <w:rsid w:val="00BE3E3F"/>
    <w:rsid w:val="00BE3EDE"/>
    <w:rsid w:val="00BF43AB"/>
    <w:rsid w:val="00BF5C97"/>
    <w:rsid w:val="00BF6F90"/>
    <w:rsid w:val="00C00B02"/>
    <w:rsid w:val="00C10464"/>
    <w:rsid w:val="00C11284"/>
    <w:rsid w:val="00C132F6"/>
    <w:rsid w:val="00C143F6"/>
    <w:rsid w:val="00C14CD9"/>
    <w:rsid w:val="00C15F61"/>
    <w:rsid w:val="00C16CAE"/>
    <w:rsid w:val="00C2401E"/>
    <w:rsid w:val="00C251C4"/>
    <w:rsid w:val="00C3181D"/>
    <w:rsid w:val="00C32AED"/>
    <w:rsid w:val="00C45B99"/>
    <w:rsid w:val="00C4784E"/>
    <w:rsid w:val="00C50C93"/>
    <w:rsid w:val="00C52250"/>
    <w:rsid w:val="00C54697"/>
    <w:rsid w:val="00C54B9E"/>
    <w:rsid w:val="00C57808"/>
    <w:rsid w:val="00C70180"/>
    <w:rsid w:val="00C76F6D"/>
    <w:rsid w:val="00C77317"/>
    <w:rsid w:val="00C821FD"/>
    <w:rsid w:val="00C82454"/>
    <w:rsid w:val="00C82BBB"/>
    <w:rsid w:val="00C8568F"/>
    <w:rsid w:val="00C93064"/>
    <w:rsid w:val="00CA64F2"/>
    <w:rsid w:val="00CA7E86"/>
    <w:rsid w:val="00CB1E2C"/>
    <w:rsid w:val="00CB291B"/>
    <w:rsid w:val="00CB32FB"/>
    <w:rsid w:val="00CB5415"/>
    <w:rsid w:val="00CB78BD"/>
    <w:rsid w:val="00CB7B63"/>
    <w:rsid w:val="00CC164A"/>
    <w:rsid w:val="00CC5987"/>
    <w:rsid w:val="00CC6ED4"/>
    <w:rsid w:val="00CD004D"/>
    <w:rsid w:val="00CD4587"/>
    <w:rsid w:val="00CE5482"/>
    <w:rsid w:val="00D01AF2"/>
    <w:rsid w:val="00D07C3A"/>
    <w:rsid w:val="00D101B6"/>
    <w:rsid w:val="00D12115"/>
    <w:rsid w:val="00D21B10"/>
    <w:rsid w:val="00D33F80"/>
    <w:rsid w:val="00D4034B"/>
    <w:rsid w:val="00D40A36"/>
    <w:rsid w:val="00D40F38"/>
    <w:rsid w:val="00D468C9"/>
    <w:rsid w:val="00D54071"/>
    <w:rsid w:val="00D56FA0"/>
    <w:rsid w:val="00D60F7C"/>
    <w:rsid w:val="00D65F48"/>
    <w:rsid w:val="00D72148"/>
    <w:rsid w:val="00D84EAB"/>
    <w:rsid w:val="00D907DF"/>
    <w:rsid w:val="00D93EE5"/>
    <w:rsid w:val="00D9414E"/>
    <w:rsid w:val="00D94B73"/>
    <w:rsid w:val="00D97BA6"/>
    <w:rsid w:val="00DA21B8"/>
    <w:rsid w:val="00DA2BD1"/>
    <w:rsid w:val="00DB3C91"/>
    <w:rsid w:val="00DC0447"/>
    <w:rsid w:val="00DC4A4A"/>
    <w:rsid w:val="00DC50F4"/>
    <w:rsid w:val="00DC5B1D"/>
    <w:rsid w:val="00DC6D26"/>
    <w:rsid w:val="00DD2646"/>
    <w:rsid w:val="00DD26EF"/>
    <w:rsid w:val="00DD79C1"/>
    <w:rsid w:val="00DE0AD4"/>
    <w:rsid w:val="00DE1B68"/>
    <w:rsid w:val="00DE4625"/>
    <w:rsid w:val="00DE761B"/>
    <w:rsid w:val="00DF6E1E"/>
    <w:rsid w:val="00E00908"/>
    <w:rsid w:val="00E27570"/>
    <w:rsid w:val="00E35748"/>
    <w:rsid w:val="00E40BCA"/>
    <w:rsid w:val="00E44A52"/>
    <w:rsid w:val="00E47FCA"/>
    <w:rsid w:val="00E50578"/>
    <w:rsid w:val="00E56AF3"/>
    <w:rsid w:val="00E66D51"/>
    <w:rsid w:val="00E72177"/>
    <w:rsid w:val="00E73B8A"/>
    <w:rsid w:val="00E742A7"/>
    <w:rsid w:val="00E76852"/>
    <w:rsid w:val="00E77F85"/>
    <w:rsid w:val="00E8453B"/>
    <w:rsid w:val="00E8706F"/>
    <w:rsid w:val="00EA3731"/>
    <w:rsid w:val="00EA6F1B"/>
    <w:rsid w:val="00EC14D2"/>
    <w:rsid w:val="00ED2C99"/>
    <w:rsid w:val="00ED5FD6"/>
    <w:rsid w:val="00ED6EA0"/>
    <w:rsid w:val="00EE1B3C"/>
    <w:rsid w:val="00EE4A96"/>
    <w:rsid w:val="00EF3D24"/>
    <w:rsid w:val="00EF4056"/>
    <w:rsid w:val="00EF4DBE"/>
    <w:rsid w:val="00EF7675"/>
    <w:rsid w:val="00F01342"/>
    <w:rsid w:val="00F150A2"/>
    <w:rsid w:val="00F172A1"/>
    <w:rsid w:val="00F505F2"/>
    <w:rsid w:val="00F604E1"/>
    <w:rsid w:val="00F6510F"/>
    <w:rsid w:val="00F65CD9"/>
    <w:rsid w:val="00F65F96"/>
    <w:rsid w:val="00F67514"/>
    <w:rsid w:val="00F70A54"/>
    <w:rsid w:val="00F82A64"/>
    <w:rsid w:val="00F8474F"/>
    <w:rsid w:val="00F86B39"/>
    <w:rsid w:val="00F96A0A"/>
    <w:rsid w:val="00FA0D6E"/>
    <w:rsid w:val="00FC5B97"/>
    <w:rsid w:val="00FC5BDA"/>
    <w:rsid w:val="00FC6A75"/>
    <w:rsid w:val="00FD0A36"/>
    <w:rsid w:val="00FF112A"/>
    <w:rsid w:val="00FF453E"/>
    <w:rsid w:val="00FF58B8"/>
    <w:rsid w:val="00FF6E37"/>
    <w:rsid w:val="01181DD9"/>
    <w:rsid w:val="01630F53"/>
    <w:rsid w:val="016853DB"/>
    <w:rsid w:val="017C78FF"/>
    <w:rsid w:val="019C23B2"/>
    <w:rsid w:val="01A26E08"/>
    <w:rsid w:val="01B31FD7"/>
    <w:rsid w:val="01DA1E97"/>
    <w:rsid w:val="01E22B26"/>
    <w:rsid w:val="01E65CA9"/>
    <w:rsid w:val="01E96C2E"/>
    <w:rsid w:val="02335DA9"/>
    <w:rsid w:val="025340DF"/>
    <w:rsid w:val="02B15922"/>
    <w:rsid w:val="02BE378E"/>
    <w:rsid w:val="03012F7E"/>
    <w:rsid w:val="030B000A"/>
    <w:rsid w:val="032A2ABD"/>
    <w:rsid w:val="032E14C4"/>
    <w:rsid w:val="03425F66"/>
    <w:rsid w:val="036A7B56"/>
    <w:rsid w:val="03731FB8"/>
    <w:rsid w:val="039446EB"/>
    <w:rsid w:val="039C537B"/>
    <w:rsid w:val="03A03D81"/>
    <w:rsid w:val="03D332D6"/>
    <w:rsid w:val="03FC2E16"/>
    <w:rsid w:val="041462BE"/>
    <w:rsid w:val="04467D92"/>
    <w:rsid w:val="044E519E"/>
    <w:rsid w:val="04641540"/>
    <w:rsid w:val="04647342"/>
    <w:rsid w:val="0473604C"/>
    <w:rsid w:val="04785FE3"/>
    <w:rsid w:val="04881B00"/>
    <w:rsid w:val="04B425C4"/>
    <w:rsid w:val="04BA44CE"/>
    <w:rsid w:val="04D253F8"/>
    <w:rsid w:val="04DA3961"/>
    <w:rsid w:val="04E9501D"/>
    <w:rsid w:val="04EF6F26"/>
    <w:rsid w:val="05482E38"/>
    <w:rsid w:val="05665C6B"/>
    <w:rsid w:val="05EB5EC4"/>
    <w:rsid w:val="05FB28DB"/>
    <w:rsid w:val="063901C2"/>
    <w:rsid w:val="06397DA9"/>
    <w:rsid w:val="065B3BFA"/>
    <w:rsid w:val="0664230B"/>
    <w:rsid w:val="069D7EE6"/>
    <w:rsid w:val="06AF3F0D"/>
    <w:rsid w:val="06B30602"/>
    <w:rsid w:val="06BE3C9E"/>
    <w:rsid w:val="06BF391E"/>
    <w:rsid w:val="06D0743C"/>
    <w:rsid w:val="06DB7966"/>
    <w:rsid w:val="06E3065B"/>
    <w:rsid w:val="07035F04"/>
    <w:rsid w:val="070D149F"/>
    <w:rsid w:val="07407323"/>
    <w:rsid w:val="0750320D"/>
    <w:rsid w:val="07574AC3"/>
    <w:rsid w:val="0758192B"/>
    <w:rsid w:val="07A36030"/>
    <w:rsid w:val="07BA06BE"/>
    <w:rsid w:val="07CE1BE6"/>
    <w:rsid w:val="07DF17F7"/>
    <w:rsid w:val="07FD0DA7"/>
    <w:rsid w:val="080055AF"/>
    <w:rsid w:val="080C13C2"/>
    <w:rsid w:val="08380F8C"/>
    <w:rsid w:val="084E78AD"/>
    <w:rsid w:val="085914C1"/>
    <w:rsid w:val="086552D4"/>
    <w:rsid w:val="086D0162"/>
    <w:rsid w:val="08747AEC"/>
    <w:rsid w:val="08822685"/>
    <w:rsid w:val="08870D0B"/>
    <w:rsid w:val="08BA49DD"/>
    <w:rsid w:val="08EC7733"/>
    <w:rsid w:val="092B1819"/>
    <w:rsid w:val="092E279E"/>
    <w:rsid w:val="09343398"/>
    <w:rsid w:val="093E2A38"/>
    <w:rsid w:val="0955045F"/>
    <w:rsid w:val="09F856EA"/>
    <w:rsid w:val="0A164C9A"/>
    <w:rsid w:val="0A3A19D7"/>
    <w:rsid w:val="0AB418E1"/>
    <w:rsid w:val="0AD04A17"/>
    <w:rsid w:val="0AE465EC"/>
    <w:rsid w:val="0AF33383"/>
    <w:rsid w:val="0AF40E05"/>
    <w:rsid w:val="0AF8528D"/>
    <w:rsid w:val="0B0B0A2A"/>
    <w:rsid w:val="0B2631C5"/>
    <w:rsid w:val="0B5B44B2"/>
    <w:rsid w:val="0B8251F1"/>
    <w:rsid w:val="0BE85862"/>
    <w:rsid w:val="0C1C35C4"/>
    <w:rsid w:val="0C30660E"/>
    <w:rsid w:val="0C5A3BCF"/>
    <w:rsid w:val="0C5E25D5"/>
    <w:rsid w:val="0C9E14DE"/>
    <w:rsid w:val="0CA11F25"/>
    <w:rsid w:val="0CCB0A0B"/>
    <w:rsid w:val="0CFA01E0"/>
    <w:rsid w:val="0D06536D"/>
    <w:rsid w:val="0D1158FC"/>
    <w:rsid w:val="0D1A078A"/>
    <w:rsid w:val="0D1D7190"/>
    <w:rsid w:val="0D3835BD"/>
    <w:rsid w:val="0D8536BD"/>
    <w:rsid w:val="0DC44BFF"/>
    <w:rsid w:val="0DDE5050"/>
    <w:rsid w:val="0DEA0E63"/>
    <w:rsid w:val="0E317059"/>
    <w:rsid w:val="0E7D16D6"/>
    <w:rsid w:val="0E991F00"/>
    <w:rsid w:val="0E9D0906"/>
    <w:rsid w:val="0EA03F84"/>
    <w:rsid w:val="0EB4052B"/>
    <w:rsid w:val="0EBA5CB8"/>
    <w:rsid w:val="0EF21695"/>
    <w:rsid w:val="0F1550CD"/>
    <w:rsid w:val="0F2E087C"/>
    <w:rsid w:val="0F596ABB"/>
    <w:rsid w:val="0F5D0D44"/>
    <w:rsid w:val="0F6A005A"/>
    <w:rsid w:val="0FB04F4B"/>
    <w:rsid w:val="0FCF7D7E"/>
    <w:rsid w:val="100E3442"/>
    <w:rsid w:val="10170173"/>
    <w:rsid w:val="103819AC"/>
    <w:rsid w:val="105656D9"/>
    <w:rsid w:val="10717512"/>
    <w:rsid w:val="10717588"/>
    <w:rsid w:val="10727C56"/>
    <w:rsid w:val="109A294A"/>
    <w:rsid w:val="111A0C9A"/>
    <w:rsid w:val="1122192A"/>
    <w:rsid w:val="113C7F55"/>
    <w:rsid w:val="11440BE5"/>
    <w:rsid w:val="11811943"/>
    <w:rsid w:val="11872BFD"/>
    <w:rsid w:val="11885106"/>
    <w:rsid w:val="11AA4C3A"/>
    <w:rsid w:val="11AC3A8C"/>
    <w:rsid w:val="11F7373C"/>
    <w:rsid w:val="12255CD4"/>
    <w:rsid w:val="122E65E4"/>
    <w:rsid w:val="1252421A"/>
    <w:rsid w:val="128F7902"/>
    <w:rsid w:val="12AC1431"/>
    <w:rsid w:val="12F066A2"/>
    <w:rsid w:val="12F450A8"/>
    <w:rsid w:val="13045342"/>
    <w:rsid w:val="133D2F1E"/>
    <w:rsid w:val="13935EAB"/>
    <w:rsid w:val="13BD2572"/>
    <w:rsid w:val="13DB629F"/>
    <w:rsid w:val="14044EE5"/>
    <w:rsid w:val="142976A3"/>
    <w:rsid w:val="145B58F4"/>
    <w:rsid w:val="148876BD"/>
    <w:rsid w:val="14A66C6D"/>
    <w:rsid w:val="14EC73E1"/>
    <w:rsid w:val="152A4CC8"/>
    <w:rsid w:val="156D0C34"/>
    <w:rsid w:val="15756040"/>
    <w:rsid w:val="15796287"/>
    <w:rsid w:val="15B83632"/>
    <w:rsid w:val="15BC67B5"/>
    <w:rsid w:val="15D72862"/>
    <w:rsid w:val="15E9057E"/>
    <w:rsid w:val="15EB3A81"/>
    <w:rsid w:val="15EB7304"/>
    <w:rsid w:val="15F1340C"/>
    <w:rsid w:val="16387403"/>
    <w:rsid w:val="166D588D"/>
    <w:rsid w:val="167539E5"/>
    <w:rsid w:val="1694429A"/>
    <w:rsid w:val="16C95754"/>
    <w:rsid w:val="16DA1606"/>
    <w:rsid w:val="172F6697"/>
    <w:rsid w:val="17332B1E"/>
    <w:rsid w:val="17550AD5"/>
    <w:rsid w:val="175C045F"/>
    <w:rsid w:val="176B30C3"/>
    <w:rsid w:val="1780519C"/>
    <w:rsid w:val="1784532C"/>
    <w:rsid w:val="17A553DC"/>
    <w:rsid w:val="17B0376D"/>
    <w:rsid w:val="17C77B0F"/>
    <w:rsid w:val="17DC4231"/>
    <w:rsid w:val="17E838C7"/>
    <w:rsid w:val="18104A8B"/>
    <w:rsid w:val="18147F52"/>
    <w:rsid w:val="18322A41"/>
    <w:rsid w:val="185E6D88"/>
    <w:rsid w:val="186C3B20"/>
    <w:rsid w:val="18825CC3"/>
    <w:rsid w:val="18A90101"/>
    <w:rsid w:val="19024013"/>
    <w:rsid w:val="19044F98"/>
    <w:rsid w:val="1910462E"/>
    <w:rsid w:val="19316345"/>
    <w:rsid w:val="19360FEA"/>
    <w:rsid w:val="19451A88"/>
    <w:rsid w:val="196056B2"/>
    <w:rsid w:val="19782D58"/>
    <w:rsid w:val="19B02EB2"/>
    <w:rsid w:val="19B83B42"/>
    <w:rsid w:val="19D4436C"/>
    <w:rsid w:val="1A306C84"/>
    <w:rsid w:val="1A3E5E28"/>
    <w:rsid w:val="1A4B0B32"/>
    <w:rsid w:val="1A7267F4"/>
    <w:rsid w:val="1A811BDF"/>
    <w:rsid w:val="1A8E28A0"/>
    <w:rsid w:val="1AA56775"/>
    <w:rsid w:val="1AAE7552"/>
    <w:rsid w:val="1ADD2620"/>
    <w:rsid w:val="1AEB73B7"/>
    <w:rsid w:val="1AED613D"/>
    <w:rsid w:val="1B685A87"/>
    <w:rsid w:val="1B6C0C0A"/>
    <w:rsid w:val="1B6D668B"/>
    <w:rsid w:val="1B933D1E"/>
    <w:rsid w:val="1BDB6CBF"/>
    <w:rsid w:val="1BE453D0"/>
    <w:rsid w:val="1BEE3761"/>
    <w:rsid w:val="1C091D8D"/>
    <w:rsid w:val="1C7723C1"/>
    <w:rsid w:val="1C820752"/>
    <w:rsid w:val="1C993BFA"/>
    <w:rsid w:val="1CC41D1F"/>
    <w:rsid w:val="1CD714E1"/>
    <w:rsid w:val="1CDB5968"/>
    <w:rsid w:val="1CEA2747"/>
    <w:rsid w:val="1CF0217A"/>
    <w:rsid w:val="1D5133A9"/>
    <w:rsid w:val="1D5D3876"/>
    <w:rsid w:val="1D6F2FE0"/>
    <w:rsid w:val="1E3D1A9F"/>
    <w:rsid w:val="1E5209CD"/>
    <w:rsid w:val="1E574E55"/>
    <w:rsid w:val="1E6366E9"/>
    <w:rsid w:val="1E711282"/>
    <w:rsid w:val="1E7A630E"/>
    <w:rsid w:val="1ED46DCB"/>
    <w:rsid w:val="1ED50FA6"/>
    <w:rsid w:val="1F400656"/>
    <w:rsid w:val="1F535FF1"/>
    <w:rsid w:val="1F672A94"/>
    <w:rsid w:val="1F7D6E36"/>
    <w:rsid w:val="1F81583C"/>
    <w:rsid w:val="1FB13E0C"/>
    <w:rsid w:val="1FBE0F24"/>
    <w:rsid w:val="1FD01F30"/>
    <w:rsid w:val="2006711A"/>
    <w:rsid w:val="202F6C59"/>
    <w:rsid w:val="20580F11"/>
    <w:rsid w:val="207E5ADF"/>
    <w:rsid w:val="2093697E"/>
    <w:rsid w:val="209443FF"/>
    <w:rsid w:val="20D14264"/>
    <w:rsid w:val="20E144FE"/>
    <w:rsid w:val="20E9518E"/>
    <w:rsid w:val="21207866"/>
    <w:rsid w:val="217C217E"/>
    <w:rsid w:val="21A223BE"/>
    <w:rsid w:val="21A3015D"/>
    <w:rsid w:val="21BC2F68"/>
    <w:rsid w:val="21D96C95"/>
    <w:rsid w:val="21DE0F1E"/>
    <w:rsid w:val="21E94D31"/>
    <w:rsid w:val="22004956"/>
    <w:rsid w:val="22077B64"/>
    <w:rsid w:val="223076A3"/>
    <w:rsid w:val="229009C2"/>
    <w:rsid w:val="23574571"/>
    <w:rsid w:val="235C138F"/>
    <w:rsid w:val="23A52A88"/>
    <w:rsid w:val="23DB76DF"/>
    <w:rsid w:val="2431266C"/>
    <w:rsid w:val="247B506A"/>
    <w:rsid w:val="24AE0D3C"/>
    <w:rsid w:val="251251DD"/>
    <w:rsid w:val="25267701"/>
    <w:rsid w:val="25392E9F"/>
    <w:rsid w:val="254060AD"/>
    <w:rsid w:val="25556F4C"/>
    <w:rsid w:val="25A14E4D"/>
    <w:rsid w:val="25BC3478"/>
    <w:rsid w:val="26066D6F"/>
    <w:rsid w:val="26151FFE"/>
    <w:rsid w:val="261C0F13"/>
    <w:rsid w:val="261E7C99"/>
    <w:rsid w:val="263465BA"/>
    <w:rsid w:val="26365340"/>
    <w:rsid w:val="26770328"/>
    <w:rsid w:val="268044BB"/>
    <w:rsid w:val="26842EC1"/>
    <w:rsid w:val="26D12FC0"/>
    <w:rsid w:val="26E25459"/>
    <w:rsid w:val="26E32EDA"/>
    <w:rsid w:val="2701728E"/>
    <w:rsid w:val="272557B3"/>
    <w:rsid w:val="27683133"/>
    <w:rsid w:val="27777ECB"/>
    <w:rsid w:val="278E3373"/>
    <w:rsid w:val="27A27E15"/>
    <w:rsid w:val="27A6429D"/>
    <w:rsid w:val="27E078FA"/>
    <w:rsid w:val="28046835"/>
    <w:rsid w:val="281B09D9"/>
    <w:rsid w:val="281B645A"/>
    <w:rsid w:val="28431558"/>
    <w:rsid w:val="28673056"/>
    <w:rsid w:val="28883996"/>
    <w:rsid w:val="28E726AB"/>
    <w:rsid w:val="290968DD"/>
    <w:rsid w:val="290D66EE"/>
    <w:rsid w:val="293C4333"/>
    <w:rsid w:val="293D5638"/>
    <w:rsid w:val="295918A1"/>
    <w:rsid w:val="2969197F"/>
    <w:rsid w:val="2970130A"/>
    <w:rsid w:val="2A0C1188"/>
    <w:rsid w:val="2A16531B"/>
    <w:rsid w:val="2A17081E"/>
    <w:rsid w:val="2A304782"/>
    <w:rsid w:val="2A4E2EF7"/>
    <w:rsid w:val="2A7917BC"/>
    <w:rsid w:val="2A8C4229"/>
    <w:rsid w:val="2A982071"/>
    <w:rsid w:val="2B0F2BD9"/>
    <w:rsid w:val="2B5B432E"/>
    <w:rsid w:val="2B9D3E9D"/>
    <w:rsid w:val="2BC517DF"/>
    <w:rsid w:val="2BCF20EE"/>
    <w:rsid w:val="2BD74F7C"/>
    <w:rsid w:val="2BE07E0A"/>
    <w:rsid w:val="2C0F0959"/>
    <w:rsid w:val="2C1A6CEA"/>
    <w:rsid w:val="2C202DF2"/>
    <w:rsid w:val="2C594D78"/>
    <w:rsid w:val="2C61165D"/>
    <w:rsid w:val="2C74067E"/>
    <w:rsid w:val="2C784B05"/>
    <w:rsid w:val="2C952DB1"/>
    <w:rsid w:val="2C9F1142"/>
    <w:rsid w:val="2CB126E1"/>
    <w:rsid w:val="2CB35BE4"/>
    <w:rsid w:val="2CB8206C"/>
    <w:rsid w:val="2CC1297B"/>
    <w:rsid w:val="2D121481"/>
    <w:rsid w:val="2D3D5B48"/>
    <w:rsid w:val="2D431C50"/>
    <w:rsid w:val="2D5A1875"/>
    <w:rsid w:val="2D5A7676"/>
    <w:rsid w:val="2D5C4D78"/>
    <w:rsid w:val="2D680B8A"/>
    <w:rsid w:val="2D6E0259"/>
    <w:rsid w:val="2D7F61A1"/>
    <w:rsid w:val="2D963C58"/>
    <w:rsid w:val="2DB1118E"/>
    <w:rsid w:val="2DB3100A"/>
    <w:rsid w:val="2DB81C0E"/>
    <w:rsid w:val="2DC0289E"/>
    <w:rsid w:val="2E246D3F"/>
    <w:rsid w:val="2E316055"/>
    <w:rsid w:val="2E521E0D"/>
    <w:rsid w:val="2E5D6548"/>
    <w:rsid w:val="2E870FE2"/>
    <w:rsid w:val="2EF67098"/>
    <w:rsid w:val="2F043E2F"/>
    <w:rsid w:val="2F31727D"/>
    <w:rsid w:val="2F5B483E"/>
    <w:rsid w:val="2F767CD0"/>
    <w:rsid w:val="2FDE4E17"/>
    <w:rsid w:val="300A115E"/>
    <w:rsid w:val="303D7F63"/>
    <w:rsid w:val="306B5D4B"/>
    <w:rsid w:val="30711E07"/>
    <w:rsid w:val="30792A97"/>
    <w:rsid w:val="30817EA3"/>
    <w:rsid w:val="308952B0"/>
    <w:rsid w:val="308D3CB6"/>
    <w:rsid w:val="30A30058"/>
    <w:rsid w:val="30E80B4C"/>
    <w:rsid w:val="312B28BA"/>
    <w:rsid w:val="312F34BF"/>
    <w:rsid w:val="313C4D53"/>
    <w:rsid w:val="314C0871"/>
    <w:rsid w:val="317503B0"/>
    <w:rsid w:val="319D7376"/>
    <w:rsid w:val="31B02B14"/>
    <w:rsid w:val="320A1F29"/>
    <w:rsid w:val="320F2B2D"/>
    <w:rsid w:val="32106030"/>
    <w:rsid w:val="324D5E95"/>
    <w:rsid w:val="326D0948"/>
    <w:rsid w:val="329F430C"/>
    <w:rsid w:val="32CC1FE7"/>
    <w:rsid w:val="32D94927"/>
    <w:rsid w:val="32E95D13"/>
    <w:rsid w:val="336268C9"/>
    <w:rsid w:val="33701470"/>
    <w:rsid w:val="337558F7"/>
    <w:rsid w:val="33BB6CF3"/>
    <w:rsid w:val="33BE2874"/>
    <w:rsid w:val="33E85C36"/>
    <w:rsid w:val="33E97114"/>
    <w:rsid w:val="342966A0"/>
    <w:rsid w:val="342B1BA3"/>
    <w:rsid w:val="346A4F0B"/>
    <w:rsid w:val="346E7194"/>
    <w:rsid w:val="34A15065"/>
    <w:rsid w:val="34E735DB"/>
    <w:rsid w:val="34EC41DF"/>
    <w:rsid w:val="350F11E8"/>
    <w:rsid w:val="35366BDD"/>
    <w:rsid w:val="356B3AE7"/>
    <w:rsid w:val="35915FF2"/>
    <w:rsid w:val="35A230B5"/>
    <w:rsid w:val="35A23D0E"/>
    <w:rsid w:val="35DE2F0C"/>
    <w:rsid w:val="35F36F90"/>
    <w:rsid w:val="35FE2DA3"/>
    <w:rsid w:val="36374475"/>
    <w:rsid w:val="36617CA1"/>
    <w:rsid w:val="3696201C"/>
    <w:rsid w:val="36C572E8"/>
    <w:rsid w:val="36C727EB"/>
    <w:rsid w:val="36E01197"/>
    <w:rsid w:val="371428EB"/>
    <w:rsid w:val="3720417F"/>
    <w:rsid w:val="37266088"/>
    <w:rsid w:val="37537E51"/>
    <w:rsid w:val="37564659"/>
    <w:rsid w:val="37712C84"/>
    <w:rsid w:val="379263CB"/>
    <w:rsid w:val="37A36CD7"/>
    <w:rsid w:val="37EA4BED"/>
    <w:rsid w:val="37F00FD4"/>
    <w:rsid w:val="38196915"/>
    <w:rsid w:val="381F62A0"/>
    <w:rsid w:val="38225026"/>
    <w:rsid w:val="385122F2"/>
    <w:rsid w:val="385D1988"/>
    <w:rsid w:val="386A541B"/>
    <w:rsid w:val="38777FB4"/>
    <w:rsid w:val="387F1B3D"/>
    <w:rsid w:val="38822AC1"/>
    <w:rsid w:val="388572C9"/>
    <w:rsid w:val="38D73850"/>
    <w:rsid w:val="39093C9F"/>
    <w:rsid w:val="391E6B91"/>
    <w:rsid w:val="394E4794"/>
    <w:rsid w:val="39916502"/>
    <w:rsid w:val="39A62C24"/>
    <w:rsid w:val="39BC6E71"/>
    <w:rsid w:val="39ED5597"/>
    <w:rsid w:val="3A201269"/>
    <w:rsid w:val="3A22476C"/>
    <w:rsid w:val="3A5F086E"/>
    <w:rsid w:val="3A883217"/>
    <w:rsid w:val="3A941228"/>
    <w:rsid w:val="3AC6527A"/>
    <w:rsid w:val="3B063AE5"/>
    <w:rsid w:val="3B0A1D81"/>
    <w:rsid w:val="3BB1414D"/>
    <w:rsid w:val="3BBF5492"/>
    <w:rsid w:val="3BED2ADE"/>
    <w:rsid w:val="3C045F86"/>
    <w:rsid w:val="3C0A7E90"/>
    <w:rsid w:val="3C2A4B41"/>
    <w:rsid w:val="3C317D4F"/>
    <w:rsid w:val="3C3E7065"/>
    <w:rsid w:val="3C62051E"/>
    <w:rsid w:val="3CD54FDA"/>
    <w:rsid w:val="3CEE0102"/>
    <w:rsid w:val="3CFD619E"/>
    <w:rsid w:val="3D313175"/>
    <w:rsid w:val="3D72615D"/>
    <w:rsid w:val="3D8E5880"/>
    <w:rsid w:val="3DA962B7"/>
    <w:rsid w:val="3DDF0D0F"/>
    <w:rsid w:val="3DEE3528"/>
    <w:rsid w:val="3DF379B0"/>
    <w:rsid w:val="3DF52EB3"/>
    <w:rsid w:val="3DFD5D41"/>
    <w:rsid w:val="3E040F4F"/>
    <w:rsid w:val="3E667CEF"/>
    <w:rsid w:val="3E706080"/>
    <w:rsid w:val="3E900B33"/>
    <w:rsid w:val="3E9C23C7"/>
    <w:rsid w:val="3EAF5B65"/>
    <w:rsid w:val="3EEE694E"/>
    <w:rsid w:val="3F1E169C"/>
    <w:rsid w:val="3F5301DE"/>
    <w:rsid w:val="3F7755AE"/>
    <w:rsid w:val="3F954B5E"/>
    <w:rsid w:val="3FBD249F"/>
    <w:rsid w:val="3FF461FC"/>
    <w:rsid w:val="3FF82684"/>
    <w:rsid w:val="40464981"/>
    <w:rsid w:val="40562A1D"/>
    <w:rsid w:val="406E00C4"/>
    <w:rsid w:val="40741FCD"/>
    <w:rsid w:val="40957F84"/>
    <w:rsid w:val="409C7F95"/>
    <w:rsid w:val="40B21AB2"/>
    <w:rsid w:val="41333305"/>
    <w:rsid w:val="415006B7"/>
    <w:rsid w:val="415C0D58"/>
    <w:rsid w:val="419249A3"/>
    <w:rsid w:val="41957B26"/>
    <w:rsid w:val="419868AD"/>
    <w:rsid w:val="4199652C"/>
    <w:rsid w:val="419F4B9D"/>
    <w:rsid w:val="41B403DB"/>
    <w:rsid w:val="42014C57"/>
    <w:rsid w:val="42307D25"/>
    <w:rsid w:val="425B65EB"/>
    <w:rsid w:val="42C76F9F"/>
    <w:rsid w:val="42CC5625"/>
    <w:rsid w:val="42D2752E"/>
    <w:rsid w:val="436832A5"/>
    <w:rsid w:val="43CE2645"/>
    <w:rsid w:val="43EC5A7C"/>
    <w:rsid w:val="44060D1F"/>
    <w:rsid w:val="44146C41"/>
    <w:rsid w:val="44524527"/>
    <w:rsid w:val="445F7FB9"/>
    <w:rsid w:val="446B2085"/>
    <w:rsid w:val="447E4FEB"/>
    <w:rsid w:val="448623F7"/>
    <w:rsid w:val="448C15B9"/>
    <w:rsid w:val="44C92E0C"/>
    <w:rsid w:val="44D16FF4"/>
    <w:rsid w:val="44EA599F"/>
    <w:rsid w:val="45206C3C"/>
    <w:rsid w:val="45225AF9"/>
    <w:rsid w:val="4530540F"/>
    <w:rsid w:val="456B24AD"/>
    <w:rsid w:val="456C5311"/>
    <w:rsid w:val="459F0946"/>
    <w:rsid w:val="45A324F9"/>
    <w:rsid w:val="45C75F46"/>
    <w:rsid w:val="45CA500D"/>
    <w:rsid w:val="45EF19CA"/>
    <w:rsid w:val="46117980"/>
    <w:rsid w:val="462640A2"/>
    <w:rsid w:val="462A632B"/>
    <w:rsid w:val="462E6F30"/>
    <w:rsid w:val="4679192E"/>
    <w:rsid w:val="468E7B13"/>
    <w:rsid w:val="46CA0433"/>
    <w:rsid w:val="46CE1038"/>
    <w:rsid w:val="46D77749"/>
    <w:rsid w:val="46F6477A"/>
    <w:rsid w:val="47064A15"/>
    <w:rsid w:val="47220AC2"/>
    <w:rsid w:val="472A5ECE"/>
    <w:rsid w:val="472F2356"/>
    <w:rsid w:val="47380A67"/>
    <w:rsid w:val="474B1C86"/>
    <w:rsid w:val="474E2C0B"/>
    <w:rsid w:val="47626028"/>
    <w:rsid w:val="47656FAD"/>
    <w:rsid w:val="47670FEE"/>
    <w:rsid w:val="47B76948"/>
    <w:rsid w:val="47B76DB7"/>
    <w:rsid w:val="47E0217A"/>
    <w:rsid w:val="47E64083"/>
    <w:rsid w:val="480B0A3F"/>
    <w:rsid w:val="486731C6"/>
    <w:rsid w:val="48775B70"/>
    <w:rsid w:val="487A2378"/>
    <w:rsid w:val="4891671A"/>
    <w:rsid w:val="48B05EC6"/>
    <w:rsid w:val="48F54240"/>
    <w:rsid w:val="490152F9"/>
    <w:rsid w:val="49092EE1"/>
    <w:rsid w:val="4942653E"/>
    <w:rsid w:val="49512C42"/>
    <w:rsid w:val="4966327A"/>
    <w:rsid w:val="496C5184"/>
    <w:rsid w:val="49963DC9"/>
    <w:rsid w:val="499D5953"/>
    <w:rsid w:val="49A330DF"/>
    <w:rsid w:val="49A91765"/>
    <w:rsid w:val="49C16E0C"/>
    <w:rsid w:val="49F151AB"/>
    <w:rsid w:val="4A152119"/>
    <w:rsid w:val="4A1C3CA2"/>
    <w:rsid w:val="4A7346B1"/>
    <w:rsid w:val="4A7843BC"/>
    <w:rsid w:val="4A8017C9"/>
    <w:rsid w:val="4A8E6560"/>
    <w:rsid w:val="4AC12232"/>
    <w:rsid w:val="4B1E4B4A"/>
    <w:rsid w:val="4B3734F6"/>
    <w:rsid w:val="4B383175"/>
    <w:rsid w:val="4B6F10D1"/>
    <w:rsid w:val="4BAA21AF"/>
    <w:rsid w:val="4BAB7C31"/>
    <w:rsid w:val="4C074200"/>
    <w:rsid w:val="4C5C7A55"/>
    <w:rsid w:val="4C8E3AA7"/>
    <w:rsid w:val="4CB14F60"/>
    <w:rsid w:val="4CB95DDF"/>
    <w:rsid w:val="4CBC6B75"/>
    <w:rsid w:val="4CBD45F6"/>
    <w:rsid w:val="4CCD4891"/>
    <w:rsid w:val="4CFA2DD6"/>
    <w:rsid w:val="4D0C4A13"/>
    <w:rsid w:val="4D490E08"/>
    <w:rsid w:val="4DC062CE"/>
    <w:rsid w:val="4DC34742"/>
    <w:rsid w:val="4DF30DF0"/>
    <w:rsid w:val="4DF420F5"/>
    <w:rsid w:val="4E001A1B"/>
    <w:rsid w:val="4E077A90"/>
    <w:rsid w:val="4E19322E"/>
    <w:rsid w:val="4E2F31D3"/>
    <w:rsid w:val="4E7A454C"/>
    <w:rsid w:val="4E914171"/>
    <w:rsid w:val="4EB621B3"/>
    <w:rsid w:val="4EBF34EE"/>
    <w:rsid w:val="4F01352B"/>
    <w:rsid w:val="4F124ACB"/>
    <w:rsid w:val="4F3A6B88"/>
    <w:rsid w:val="4F4D42D8"/>
    <w:rsid w:val="4F700845"/>
    <w:rsid w:val="4F9F2130"/>
    <w:rsid w:val="4FFD5B90"/>
    <w:rsid w:val="50DA6423"/>
    <w:rsid w:val="5109751A"/>
    <w:rsid w:val="512F43D0"/>
    <w:rsid w:val="514A216C"/>
    <w:rsid w:val="51594984"/>
    <w:rsid w:val="518F206D"/>
    <w:rsid w:val="51A65B39"/>
    <w:rsid w:val="51DE0461"/>
    <w:rsid w:val="51E754ED"/>
    <w:rsid w:val="51F46D81"/>
    <w:rsid w:val="521066B1"/>
    <w:rsid w:val="52116C97"/>
    <w:rsid w:val="522917DA"/>
    <w:rsid w:val="522D01E0"/>
    <w:rsid w:val="524E3F98"/>
    <w:rsid w:val="526D31C8"/>
    <w:rsid w:val="52AA302D"/>
    <w:rsid w:val="52AA68B0"/>
    <w:rsid w:val="52AC6530"/>
    <w:rsid w:val="52B513BE"/>
    <w:rsid w:val="52BB0D49"/>
    <w:rsid w:val="52C319D8"/>
    <w:rsid w:val="52D675F5"/>
    <w:rsid w:val="52F23421"/>
    <w:rsid w:val="52F7312C"/>
    <w:rsid w:val="53614D5A"/>
    <w:rsid w:val="538452A3"/>
    <w:rsid w:val="53DF5628"/>
    <w:rsid w:val="53F6304F"/>
    <w:rsid w:val="54103BF9"/>
    <w:rsid w:val="542776F4"/>
    <w:rsid w:val="544817D4"/>
    <w:rsid w:val="547F7730"/>
    <w:rsid w:val="548B5741"/>
    <w:rsid w:val="54C02717"/>
    <w:rsid w:val="54C620A2"/>
    <w:rsid w:val="54D21907"/>
    <w:rsid w:val="54E028C4"/>
    <w:rsid w:val="54FA15F8"/>
    <w:rsid w:val="54FF3501"/>
    <w:rsid w:val="550F159D"/>
    <w:rsid w:val="552B7848"/>
    <w:rsid w:val="55373232"/>
    <w:rsid w:val="55401D6C"/>
    <w:rsid w:val="55454EF7"/>
    <w:rsid w:val="555723A7"/>
    <w:rsid w:val="55893465"/>
    <w:rsid w:val="558D41B7"/>
    <w:rsid w:val="55922A70"/>
    <w:rsid w:val="55CC73D2"/>
    <w:rsid w:val="56037691"/>
    <w:rsid w:val="5604532D"/>
    <w:rsid w:val="561577C6"/>
    <w:rsid w:val="561B4F52"/>
    <w:rsid w:val="56226ADC"/>
    <w:rsid w:val="56257A60"/>
    <w:rsid w:val="56424E12"/>
    <w:rsid w:val="56A26130"/>
    <w:rsid w:val="56E65920"/>
    <w:rsid w:val="57152BEC"/>
    <w:rsid w:val="571E12FD"/>
    <w:rsid w:val="57271C0D"/>
    <w:rsid w:val="5735569F"/>
    <w:rsid w:val="573B502A"/>
    <w:rsid w:val="574C0B47"/>
    <w:rsid w:val="57753F0A"/>
    <w:rsid w:val="577E261B"/>
    <w:rsid w:val="577E790E"/>
    <w:rsid w:val="57975744"/>
    <w:rsid w:val="579A66C8"/>
    <w:rsid w:val="57A046BB"/>
    <w:rsid w:val="57CB6E97"/>
    <w:rsid w:val="57EA3EC9"/>
    <w:rsid w:val="58021570"/>
    <w:rsid w:val="581F309E"/>
    <w:rsid w:val="582B01B6"/>
    <w:rsid w:val="583974CB"/>
    <w:rsid w:val="5854137A"/>
    <w:rsid w:val="58587D80"/>
    <w:rsid w:val="589233DD"/>
    <w:rsid w:val="58B4529D"/>
    <w:rsid w:val="58C603B4"/>
    <w:rsid w:val="58D36F7C"/>
    <w:rsid w:val="58EF7EF3"/>
    <w:rsid w:val="590B30A7"/>
    <w:rsid w:val="592D105D"/>
    <w:rsid w:val="59311C62"/>
    <w:rsid w:val="59635CB4"/>
    <w:rsid w:val="59785C59"/>
    <w:rsid w:val="59820767"/>
    <w:rsid w:val="59C0604D"/>
    <w:rsid w:val="5A0C4E48"/>
    <w:rsid w:val="5A47502D"/>
    <w:rsid w:val="5A5468C1"/>
    <w:rsid w:val="5A7D1C84"/>
    <w:rsid w:val="5A9A37B2"/>
    <w:rsid w:val="5A9E21B8"/>
    <w:rsid w:val="5AB630E2"/>
    <w:rsid w:val="5ACA6500"/>
    <w:rsid w:val="5AD51FE0"/>
    <w:rsid w:val="5AFD3754"/>
    <w:rsid w:val="5B1024F7"/>
    <w:rsid w:val="5B140EFE"/>
    <w:rsid w:val="5B3B333C"/>
    <w:rsid w:val="5B432946"/>
    <w:rsid w:val="5B690A8E"/>
    <w:rsid w:val="5B7F079B"/>
    <w:rsid w:val="5B895639"/>
    <w:rsid w:val="5B9723D0"/>
    <w:rsid w:val="5B9E1D5B"/>
    <w:rsid w:val="5C0A490D"/>
    <w:rsid w:val="5C1761A2"/>
    <w:rsid w:val="5C576F8B"/>
    <w:rsid w:val="5C7774C0"/>
    <w:rsid w:val="5CD37BDA"/>
    <w:rsid w:val="5CD4565B"/>
    <w:rsid w:val="5CEA77FF"/>
    <w:rsid w:val="5D1E0F52"/>
    <w:rsid w:val="5D273DE0"/>
    <w:rsid w:val="5D2B27E7"/>
    <w:rsid w:val="5DE83E9E"/>
    <w:rsid w:val="5DEA73A2"/>
    <w:rsid w:val="5E097A28"/>
    <w:rsid w:val="5E774A07"/>
    <w:rsid w:val="5E882E74"/>
    <w:rsid w:val="5EA57AD5"/>
    <w:rsid w:val="5F7601AD"/>
    <w:rsid w:val="5F7C7B38"/>
    <w:rsid w:val="5F8E7A52"/>
    <w:rsid w:val="5FAE2505"/>
    <w:rsid w:val="5FBA1B9B"/>
    <w:rsid w:val="5FC03AA5"/>
    <w:rsid w:val="5FF850C6"/>
    <w:rsid w:val="600A2C1F"/>
    <w:rsid w:val="600F12A5"/>
    <w:rsid w:val="60106D27"/>
    <w:rsid w:val="602A1982"/>
    <w:rsid w:val="607A0954"/>
    <w:rsid w:val="60B146B2"/>
    <w:rsid w:val="60CC08DE"/>
    <w:rsid w:val="60CD61E0"/>
    <w:rsid w:val="60F715A3"/>
    <w:rsid w:val="610E11C8"/>
    <w:rsid w:val="612A5275"/>
    <w:rsid w:val="613A550F"/>
    <w:rsid w:val="61931421"/>
    <w:rsid w:val="619E0AB7"/>
    <w:rsid w:val="61A11A3C"/>
    <w:rsid w:val="61EA78B2"/>
    <w:rsid w:val="620C10EB"/>
    <w:rsid w:val="622C3B9E"/>
    <w:rsid w:val="625008DB"/>
    <w:rsid w:val="62695C01"/>
    <w:rsid w:val="626D4608"/>
    <w:rsid w:val="629E645C"/>
    <w:rsid w:val="62BA2508"/>
    <w:rsid w:val="631C34A7"/>
    <w:rsid w:val="639F3A80"/>
    <w:rsid w:val="63B32720"/>
    <w:rsid w:val="63E541F4"/>
    <w:rsid w:val="640D40B4"/>
    <w:rsid w:val="641B0E4B"/>
    <w:rsid w:val="641E665D"/>
    <w:rsid w:val="642052D3"/>
    <w:rsid w:val="643C1380"/>
    <w:rsid w:val="64403609"/>
    <w:rsid w:val="644E4597"/>
    <w:rsid w:val="64A4332E"/>
    <w:rsid w:val="64A864B1"/>
    <w:rsid w:val="64EF46A6"/>
    <w:rsid w:val="65083052"/>
    <w:rsid w:val="650C465E"/>
    <w:rsid w:val="651954EB"/>
    <w:rsid w:val="654C6FBE"/>
    <w:rsid w:val="656E29F6"/>
    <w:rsid w:val="65A2414A"/>
    <w:rsid w:val="65CA788D"/>
    <w:rsid w:val="65E14D38"/>
    <w:rsid w:val="65E579AD"/>
    <w:rsid w:val="66025468"/>
    <w:rsid w:val="660563ED"/>
    <w:rsid w:val="661F4D98"/>
    <w:rsid w:val="662B4F9A"/>
    <w:rsid w:val="66321142"/>
    <w:rsid w:val="66360241"/>
    <w:rsid w:val="66A96EFB"/>
    <w:rsid w:val="66C52FA8"/>
    <w:rsid w:val="66DB514B"/>
    <w:rsid w:val="67092797"/>
    <w:rsid w:val="67184FB0"/>
    <w:rsid w:val="67673E36"/>
    <w:rsid w:val="67A7359A"/>
    <w:rsid w:val="67C32ECB"/>
    <w:rsid w:val="67C718D1"/>
    <w:rsid w:val="67E36C7A"/>
    <w:rsid w:val="680726BA"/>
    <w:rsid w:val="68213264"/>
    <w:rsid w:val="68344483"/>
    <w:rsid w:val="68503DB3"/>
    <w:rsid w:val="68A2033A"/>
    <w:rsid w:val="68C504EF"/>
    <w:rsid w:val="69010354"/>
    <w:rsid w:val="69033857"/>
    <w:rsid w:val="691E5706"/>
    <w:rsid w:val="6923630A"/>
    <w:rsid w:val="695B1C47"/>
    <w:rsid w:val="69711CCD"/>
    <w:rsid w:val="69A27EDD"/>
    <w:rsid w:val="69AD29EB"/>
    <w:rsid w:val="69B82081"/>
    <w:rsid w:val="69CA3620"/>
    <w:rsid w:val="69CA7D9D"/>
    <w:rsid w:val="6A0568FD"/>
    <w:rsid w:val="6A1D1DA5"/>
    <w:rsid w:val="6A2D21C3"/>
    <w:rsid w:val="6A5E280F"/>
    <w:rsid w:val="6A7214AF"/>
    <w:rsid w:val="6A9E35F8"/>
    <w:rsid w:val="6ACB0FAA"/>
    <w:rsid w:val="6B3602F4"/>
    <w:rsid w:val="6B422321"/>
    <w:rsid w:val="6B6E7213"/>
    <w:rsid w:val="6B7226D7"/>
    <w:rsid w:val="6B914D8D"/>
    <w:rsid w:val="6BA01F21"/>
    <w:rsid w:val="6BD15F74"/>
    <w:rsid w:val="6BD623FB"/>
    <w:rsid w:val="6C313A0F"/>
    <w:rsid w:val="6C416227"/>
    <w:rsid w:val="6C5703CB"/>
    <w:rsid w:val="6C5E57D7"/>
    <w:rsid w:val="6C6D7436"/>
    <w:rsid w:val="6C891E9F"/>
    <w:rsid w:val="6CC805B2"/>
    <w:rsid w:val="6CCC5E0B"/>
    <w:rsid w:val="6CF724D3"/>
    <w:rsid w:val="6D1B140E"/>
    <w:rsid w:val="6D2D712A"/>
    <w:rsid w:val="6D6A2812"/>
    <w:rsid w:val="6D6F0E98"/>
    <w:rsid w:val="6D947740"/>
    <w:rsid w:val="6DBB3515"/>
    <w:rsid w:val="6DC30922"/>
    <w:rsid w:val="6DEC1AE6"/>
    <w:rsid w:val="6EB56FB1"/>
    <w:rsid w:val="6F085736"/>
    <w:rsid w:val="6F2F55F5"/>
    <w:rsid w:val="6F306560"/>
    <w:rsid w:val="6F663E02"/>
    <w:rsid w:val="6FA974BD"/>
    <w:rsid w:val="6FE67322"/>
    <w:rsid w:val="701D527E"/>
    <w:rsid w:val="704F6D52"/>
    <w:rsid w:val="70625B7B"/>
    <w:rsid w:val="70876EAC"/>
    <w:rsid w:val="70F10AD9"/>
    <w:rsid w:val="71255AB0"/>
    <w:rsid w:val="71465FE5"/>
    <w:rsid w:val="7150308A"/>
    <w:rsid w:val="71597204"/>
    <w:rsid w:val="719C3171"/>
    <w:rsid w:val="71A670BA"/>
    <w:rsid w:val="71AF2191"/>
    <w:rsid w:val="71C233B0"/>
    <w:rsid w:val="71D545CF"/>
    <w:rsid w:val="71F21981"/>
    <w:rsid w:val="71FB480F"/>
    <w:rsid w:val="722A1ADB"/>
    <w:rsid w:val="726254B8"/>
    <w:rsid w:val="72A82B33"/>
    <w:rsid w:val="72BA00C5"/>
    <w:rsid w:val="72BB4E08"/>
    <w:rsid w:val="72FF663B"/>
    <w:rsid w:val="730541A5"/>
    <w:rsid w:val="73231CF3"/>
    <w:rsid w:val="736D6C6F"/>
    <w:rsid w:val="738E13A2"/>
    <w:rsid w:val="73A722CC"/>
    <w:rsid w:val="73CC6C88"/>
    <w:rsid w:val="7427609D"/>
    <w:rsid w:val="74563369"/>
    <w:rsid w:val="7499095B"/>
    <w:rsid w:val="74EA165E"/>
    <w:rsid w:val="75117320"/>
    <w:rsid w:val="751C56B1"/>
    <w:rsid w:val="75234649"/>
    <w:rsid w:val="75E43E1F"/>
    <w:rsid w:val="76016C28"/>
    <w:rsid w:val="76070B31"/>
    <w:rsid w:val="76587637"/>
    <w:rsid w:val="765F4A43"/>
    <w:rsid w:val="76756BE7"/>
    <w:rsid w:val="768B0D8B"/>
    <w:rsid w:val="76A07A2B"/>
    <w:rsid w:val="76DB7FA2"/>
    <w:rsid w:val="76F04D5F"/>
    <w:rsid w:val="77276A0B"/>
    <w:rsid w:val="77311518"/>
    <w:rsid w:val="777E4E9B"/>
    <w:rsid w:val="77D67AA8"/>
    <w:rsid w:val="77FE53E9"/>
    <w:rsid w:val="7843265A"/>
    <w:rsid w:val="78913A5E"/>
    <w:rsid w:val="79147BBC"/>
    <w:rsid w:val="791F0D44"/>
    <w:rsid w:val="792A70D5"/>
    <w:rsid w:val="793B2FF4"/>
    <w:rsid w:val="796A639A"/>
    <w:rsid w:val="7970564B"/>
    <w:rsid w:val="799022FC"/>
    <w:rsid w:val="79980C33"/>
    <w:rsid w:val="79A044B0"/>
    <w:rsid w:val="79B85A3F"/>
    <w:rsid w:val="79EA35FD"/>
    <w:rsid w:val="7A03263B"/>
    <w:rsid w:val="7A057D3D"/>
    <w:rsid w:val="7A0B54C9"/>
    <w:rsid w:val="7A3D151B"/>
    <w:rsid w:val="7A4C04B1"/>
    <w:rsid w:val="7A6D6467"/>
    <w:rsid w:val="7A8B129B"/>
    <w:rsid w:val="7A920C25"/>
    <w:rsid w:val="7A9E734F"/>
    <w:rsid w:val="7AA159BD"/>
    <w:rsid w:val="7AB4245F"/>
    <w:rsid w:val="7AC96B81"/>
    <w:rsid w:val="7ACB6801"/>
    <w:rsid w:val="7ACD1D04"/>
    <w:rsid w:val="7AD44F12"/>
    <w:rsid w:val="7B2A7E9F"/>
    <w:rsid w:val="7B3769CC"/>
    <w:rsid w:val="7B3A013A"/>
    <w:rsid w:val="7BDD4DDA"/>
    <w:rsid w:val="7BEC215B"/>
    <w:rsid w:val="7C476FF2"/>
    <w:rsid w:val="7C5C5C93"/>
    <w:rsid w:val="7C9D7D81"/>
    <w:rsid w:val="7CBA3AAE"/>
    <w:rsid w:val="7CEA207E"/>
    <w:rsid w:val="7CF5040F"/>
    <w:rsid w:val="7D19734A"/>
    <w:rsid w:val="7D1F1254"/>
    <w:rsid w:val="7D2334DD"/>
    <w:rsid w:val="7D264462"/>
    <w:rsid w:val="7D271EE3"/>
    <w:rsid w:val="7D40500C"/>
    <w:rsid w:val="7D5B6EBA"/>
    <w:rsid w:val="7D867CFE"/>
    <w:rsid w:val="7D8B6384"/>
    <w:rsid w:val="7D996755"/>
    <w:rsid w:val="7D9F2E27"/>
    <w:rsid w:val="7DC242E0"/>
    <w:rsid w:val="7DDE038D"/>
    <w:rsid w:val="7DEA7A23"/>
    <w:rsid w:val="7DF0192C"/>
    <w:rsid w:val="7DF76D39"/>
    <w:rsid w:val="7E070738"/>
    <w:rsid w:val="7E1D36F5"/>
    <w:rsid w:val="7E1E3650"/>
    <w:rsid w:val="7E294F89"/>
    <w:rsid w:val="7E6263E8"/>
    <w:rsid w:val="7E765088"/>
    <w:rsid w:val="7E8C15C8"/>
    <w:rsid w:val="7E987174"/>
    <w:rsid w:val="7EAF2C64"/>
    <w:rsid w:val="7F097E7A"/>
    <w:rsid w:val="7F3B60CB"/>
    <w:rsid w:val="7F4F4D6C"/>
    <w:rsid w:val="7F8477C4"/>
    <w:rsid w:val="7FA347F6"/>
    <w:rsid w:val="7FBC31A1"/>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4">
    <w:name w:val="heading 3"/>
    <w:basedOn w:val="1"/>
    <w:next w:val="1"/>
    <w:qFormat/>
    <w:uiPriority w:val="0"/>
    <w:pPr>
      <w:keepNext/>
      <w:keepLines/>
      <w:spacing w:before="260" w:after="260" w:line="415" w:lineRule="auto"/>
      <w:outlineLvl w:val="2"/>
    </w:pPr>
    <w:rPr>
      <w:b/>
      <w:sz w:val="32"/>
      <w:szCs w:val="3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5">
    <w:name w:val="Normal Indent"/>
    <w:basedOn w:val="1"/>
    <w:link w:val="28"/>
    <w:uiPriority w:val="0"/>
    <w:pPr>
      <w:ind w:firstLine="420" w:firstLineChars="200"/>
    </w:pPr>
    <w:rPr>
      <w:rFonts w:ascii="Times New Roman"/>
      <w:kern w:val="2"/>
      <w:sz w:val="21"/>
      <w:szCs w:val="24"/>
    </w:rPr>
  </w:style>
  <w:style w:type="paragraph" w:styleId="6">
    <w:name w:val="annotation text"/>
    <w:basedOn w:val="1"/>
    <w:link w:val="29"/>
    <w:uiPriority w:val="0"/>
    <w:pPr>
      <w:jc w:val="left"/>
    </w:pPr>
    <w:rPr>
      <w:rFonts w:ascii="Times New Roman"/>
    </w:rPr>
  </w:style>
  <w:style w:type="paragraph" w:styleId="7">
    <w:name w:val="Body Text"/>
    <w:basedOn w:val="1"/>
    <w:uiPriority w:val="0"/>
    <w:pPr>
      <w:spacing w:after="120"/>
    </w:pPr>
    <w:rPr>
      <w:rFonts w:ascii="Times New Roman"/>
    </w:rPr>
  </w:style>
  <w:style w:type="paragraph" w:styleId="8">
    <w:name w:val="Body Text Indent"/>
    <w:basedOn w:val="1"/>
    <w:link w:val="30"/>
    <w:uiPriority w:val="0"/>
    <w:pPr>
      <w:ind w:firstLine="630"/>
    </w:pPr>
    <w:rPr>
      <w:rFonts w:ascii="Times New Roman"/>
      <w:kern w:val="2"/>
      <w:sz w:val="32"/>
    </w:rPr>
  </w:style>
  <w:style w:type="paragraph" w:styleId="9">
    <w:name w:val="Plain Text"/>
    <w:basedOn w:val="1"/>
    <w:link w:val="31"/>
    <w:qFormat/>
    <w:uiPriority w:val="0"/>
    <w:rPr>
      <w:rFonts w:hAnsi="Courier New"/>
      <w:kern w:val="2"/>
      <w:sz w:val="21"/>
    </w:rPr>
  </w:style>
  <w:style w:type="paragraph" w:styleId="10">
    <w:name w:val="Body Text Indent 2"/>
    <w:basedOn w:val="1"/>
    <w:qFormat/>
    <w:uiPriority w:val="0"/>
    <w:pPr>
      <w:ind w:firstLine="630"/>
    </w:pPr>
    <w:rPr>
      <w:sz w:val="32"/>
      <w:szCs w:val="32"/>
    </w:rPr>
  </w:style>
  <w:style w:type="paragraph" w:styleId="11">
    <w:name w:val="Balloon Text"/>
    <w:basedOn w:val="1"/>
    <w:qFormat/>
    <w:uiPriority w:val="0"/>
    <w:rPr>
      <w:rFonts w:ascii="Times New Roman"/>
      <w:sz w:val="18"/>
      <w:szCs w:val="18"/>
    </w:rPr>
  </w:style>
  <w:style w:type="paragraph" w:styleId="12">
    <w:name w:val="footer"/>
    <w:basedOn w:val="1"/>
    <w:qFormat/>
    <w:uiPriority w:val="0"/>
    <w:pPr>
      <w:tabs>
        <w:tab w:val="center" w:pos="4140"/>
        <w:tab w:val="right" w:pos="8300"/>
      </w:tabs>
      <w:jc w:val="left"/>
    </w:pPr>
    <w:rPr>
      <w:sz w:val="18"/>
      <w:szCs w:val="18"/>
    </w:rPr>
  </w:style>
  <w:style w:type="paragraph" w:styleId="13">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4">
    <w:name w:val="toc 1"/>
    <w:basedOn w:val="1"/>
    <w:next w:val="1"/>
    <w:qFormat/>
    <w:uiPriority w:val="39"/>
  </w:style>
  <w:style w:type="paragraph" w:styleId="15">
    <w:name w:val="Body Text Indent 3"/>
    <w:basedOn w:val="1"/>
    <w:qFormat/>
    <w:uiPriority w:val="0"/>
    <w:pPr>
      <w:spacing w:after="120"/>
      <w:ind w:left="420" w:leftChars="200"/>
    </w:pPr>
    <w:rPr>
      <w:rFonts w:ascii="Times New Roman"/>
      <w:sz w:val="16"/>
      <w:szCs w:val="16"/>
    </w:rPr>
  </w:style>
  <w:style w:type="paragraph" w:styleId="16">
    <w:name w:val="toc 2"/>
    <w:basedOn w:val="1"/>
    <w:next w:val="1"/>
    <w:qFormat/>
    <w:uiPriority w:val="0"/>
    <w:pPr>
      <w:ind w:left="420" w:leftChars="200"/>
    </w:pPr>
    <w:rPr>
      <w:rFonts w:ascii="Times New Roman"/>
    </w:rPr>
  </w:style>
  <w:style w:type="paragraph" w:styleId="17">
    <w:name w:val="Body Text 2"/>
    <w:basedOn w:val="1"/>
    <w:qFormat/>
    <w:uiPriority w:val="0"/>
    <w:pPr>
      <w:spacing w:line="480" w:lineRule="auto"/>
    </w:pPr>
    <w:rPr>
      <w:rFonts w:ascii="Times New Roman"/>
    </w:rPr>
  </w:style>
  <w:style w:type="paragraph" w:styleId="18">
    <w:name w:val="Normal (Web)"/>
    <w:basedOn w:val="1"/>
    <w:qFormat/>
    <w:uiPriority w:val="0"/>
    <w:pPr>
      <w:widowControl/>
      <w:spacing w:before="100" w:beforeAutospacing="1" w:after="100" w:afterAutospacing="1"/>
      <w:jc w:val="left"/>
    </w:pPr>
    <w:rPr>
      <w:rFonts w:hAnsi="宋体"/>
      <w:sz w:val="18"/>
      <w:szCs w:val="18"/>
    </w:rPr>
  </w:style>
  <w:style w:type="paragraph" w:styleId="19">
    <w:name w:val="annotation subject"/>
    <w:basedOn w:val="6"/>
    <w:next w:val="6"/>
    <w:link w:val="32"/>
    <w:unhideWhenUsed/>
    <w:qFormat/>
    <w:uiPriority w:val="0"/>
    <w:rPr>
      <w:rFonts w:ascii="宋体"/>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rFonts w:ascii="Times New Roman" w:hAnsi="Times New Roman" w:eastAsia="宋体" w:cs="Times New Roman"/>
      <w:b/>
      <w:bCs/>
    </w:rPr>
  </w:style>
  <w:style w:type="character" w:styleId="24">
    <w:name w:val="page number"/>
    <w:qFormat/>
    <w:uiPriority w:val="0"/>
    <w:rPr>
      <w:rFonts w:ascii="Times New Roman" w:hAnsi="Times New Roman" w:eastAsia="宋体" w:cs="Times New Roman"/>
    </w:rPr>
  </w:style>
  <w:style w:type="character" w:styleId="25">
    <w:name w:val="FollowedHyperlink"/>
    <w:qFormat/>
    <w:uiPriority w:val="0"/>
    <w:rPr>
      <w:rFonts w:ascii="Arial" w:hAnsi="Arial" w:eastAsia="宋体" w:cs="Arial"/>
      <w:color w:val="007CD2"/>
      <w:sz w:val="24"/>
      <w:szCs w:val="24"/>
      <w:u w:val="none"/>
    </w:rPr>
  </w:style>
  <w:style w:type="character" w:styleId="26">
    <w:name w:val="Hyperlink"/>
    <w:qFormat/>
    <w:uiPriority w:val="99"/>
    <w:rPr>
      <w:rFonts w:ascii="Times New Roman" w:hAnsi="Times New Roman" w:eastAsia="宋体" w:cs="Times New Roman"/>
      <w:color w:val="0000FF"/>
      <w:u w:val="single"/>
    </w:rPr>
  </w:style>
  <w:style w:type="character" w:styleId="27">
    <w:name w:val="annotation reference"/>
    <w:unhideWhenUsed/>
    <w:qFormat/>
    <w:uiPriority w:val="0"/>
    <w:rPr>
      <w:sz w:val="21"/>
      <w:szCs w:val="21"/>
    </w:rPr>
  </w:style>
  <w:style w:type="character" w:customStyle="1" w:styleId="28">
    <w:name w:val="正文缩进 字符"/>
    <w:link w:val="5"/>
    <w:qFormat/>
    <w:uiPriority w:val="0"/>
    <w:rPr>
      <w:rFonts w:ascii="Times New Roman" w:hAnsi="Times New Roman" w:eastAsia="宋体" w:cs="Times New Roman"/>
      <w:kern w:val="2"/>
      <w:sz w:val="21"/>
      <w:szCs w:val="24"/>
      <w:lang w:val="en-US" w:eastAsia="zh-CN" w:bidi="ar-SA"/>
    </w:rPr>
  </w:style>
  <w:style w:type="character" w:customStyle="1" w:styleId="29">
    <w:name w:val="批注文字 字符"/>
    <w:link w:val="6"/>
    <w:qFormat/>
    <w:uiPriority w:val="0"/>
    <w:rPr>
      <w:sz w:val="34"/>
    </w:rPr>
  </w:style>
  <w:style w:type="character" w:customStyle="1" w:styleId="30">
    <w:name w:val="正文文本缩进 字符"/>
    <w:link w:val="8"/>
    <w:qFormat/>
    <w:uiPriority w:val="0"/>
    <w:rPr>
      <w:rFonts w:ascii="Times New Roman" w:hAnsi="Times New Roman" w:eastAsia="宋体" w:cs="Times New Roman"/>
      <w:kern w:val="2"/>
      <w:sz w:val="32"/>
      <w:lang w:val="en-US" w:eastAsia="zh-CN" w:bidi="ar-SA"/>
    </w:rPr>
  </w:style>
  <w:style w:type="character" w:customStyle="1" w:styleId="31">
    <w:name w:val="纯文本 字符"/>
    <w:link w:val="9"/>
    <w:qFormat/>
    <w:uiPriority w:val="0"/>
    <w:rPr>
      <w:rFonts w:ascii="宋体" w:hAnsi="Courier New" w:eastAsia="宋体" w:cs="Times New Roman"/>
      <w:kern w:val="2"/>
      <w:sz w:val="21"/>
      <w:lang w:val="en-US" w:eastAsia="zh-CN" w:bidi="ar-SA"/>
    </w:rPr>
  </w:style>
  <w:style w:type="character" w:customStyle="1" w:styleId="32">
    <w:name w:val="批注主题 字符"/>
    <w:link w:val="19"/>
    <w:semiHidden/>
    <w:qFormat/>
    <w:uiPriority w:val="0"/>
    <w:rPr>
      <w:rFonts w:ascii="宋体"/>
      <w:b/>
      <w:bCs/>
      <w:sz w:val="34"/>
    </w:rPr>
  </w:style>
  <w:style w:type="character" w:customStyle="1" w:styleId="33">
    <w:name w:val="左对齐的表内文字 Char"/>
    <w:link w:val="34"/>
    <w:qFormat/>
    <w:uiPriority w:val="0"/>
    <w:rPr>
      <w:rFonts w:ascii="Times New Roman" w:hAnsi="Times New Roman" w:eastAsia="仿宋_GB2312" w:cs="Times New Roman"/>
      <w:kern w:val="2"/>
      <w:sz w:val="21"/>
      <w:lang w:bidi="ar-SA"/>
    </w:rPr>
  </w:style>
  <w:style w:type="paragraph" w:customStyle="1" w:styleId="34">
    <w:name w:val="左对齐的表内文字"/>
    <w:basedOn w:val="1"/>
    <w:link w:val="33"/>
    <w:qFormat/>
    <w:uiPriority w:val="0"/>
    <w:rPr>
      <w:rFonts w:ascii="Times New Roman" w:eastAsia="仿宋_GB2312"/>
      <w:kern w:val="2"/>
      <w:sz w:val="21"/>
    </w:rPr>
  </w:style>
  <w:style w:type="character" w:customStyle="1" w:styleId="35">
    <w:name w:val="表正文 Char1"/>
    <w:qFormat/>
    <w:uiPriority w:val="0"/>
    <w:rPr>
      <w:rFonts w:ascii="Times New Roman" w:hAnsi="Times New Roman" w:eastAsia="宋体" w:cs="Times New Roman"/>
      <w:kern w:val="2"/>
      <w:sz w:val="21"/>
      <w:szCs w:val="24"/>
      <w:lang w:val="en-US" w:eastAsia="zh-CN" w:bidi="ar-SA"/>
    </w:rPr>
  </w:style>
  <w:style w:type="character" w:customStyle="1" w:styleId="36">
    <w:name w:val="font01"/>
    <w:qFormat/>
    <w:uiPriority w:val="0"/>
    <w:rPr>
      <w:rFonts w:hint="eastAsia" w:ascii="宋体" w:hAnsi="宋体" w:eastAsia="宋体" w:cs="宋体"/>
      <w:i/>
      <w:color w:val="000000"/>
      <w:sz w:val="20"/>
      <w:szCs w:val="20"/>
      <w:u w:val="none"/>
    </w:rPr>
  </w:style>
  <w:style w:type="character" w:customStyle="1" w:styleId="37">
    <w:name w:val="font21"/>
    <w:qFormat/>
    <w:uiPriority w:val="0"/>
    <w:rPr>
      <w:rFonts w:hint="eastAsia" w:ascii="宋体" w:hAnsi="宋体" w:eastAsia="宋体" w:cs="宋体"/>
      <w:color w:val="000000"/>
      <w:sz w:val="20"/>
      <w:szCs w:val="20"/>
      <w:u w:val="none"/>
    </w:rPr>
  </w:style>
  <w:style w:type="character" w:customStyle="1" w:styleId="38">
    <w:name w:val="style1"/>
    <w:qFormat/>
    <w:uiPriority w:val="0"/>
    <w:rPr>
      <w:rFonts w:ascii="Times New Roman" w:hAnsi="Times New Roman" w:eastAsia="宋体" w:cs="Times New Roman"/>
    </w:rPr>
  </w:style>
  <w:style w:type="character" w:customStyle="1" w:styleId="39">
    <w:name w:val="font111"/>
    <w:qFormat/>
    <w:uiPriority w:val="0"/>
    <w:rPr>
      <w:rFonts w:hint="eastAsia" w:ascii="宋体" w:hAnsi="宋体" w:eastAsia="宋体" w:cs="宋体"/>
      <w:b/>
      <w:color w:val="000000"/>
      <w:sz w:val="32"/>
      <w:szCs w:val="32"/>
      <w:u w:val="none"/>
    </w:rPr>
  </w:style>
  <w:style w:type="character" w:customStyle="1" w:styleId="40">
    <w:name w:val="tdrownotice1"/>
    <w:qFormat/>
    <w:uiPriority w:val="0"/>
    <w:rPr>
      <w:rFonts w:hint="default" w:ascii="Times New Roman" w:hAnsi="Times New Roman" w:eastAsia="宋体" w:cs="Times New Roman"/>
      <w:sz w:val="22"/>
    </w:rPr>
  </w:style>
  <w:style w:type="character" w:customStyle="1" w:styleId="41">
    <w:name w:val="apple-style-span"/>
    <w:qFormat/>
    <w:uiPriority w:val="0"/>
  </w:style>
  <w:style w:type="character" w:customStyle="1" w:styleId="42">
    <w:name w:val="font71"/>
    <w:qFormat/>
    <w:uiPriority w:val="0"/>
    <w:rPr>
      <w:rFonts w:hint="eastAsia" w:ascii="宋体" w:hAnsi="宋体" w:eastAsia="宋体" w:cs="宋体"/>
      <w:color w:val="000000"/>
      <w:sz w:val="20"/>
      <w:szCs w:val="20"/>
      <w:u w:val="none"/>
    </w:rPr>
  </w:style>
  <w:style w:type="character" w:customStyle="1" w:styleId="43">
    <w:name w:val="font81"/>
    <w:qFormat/>
    <w:uiPriority w:val="0"/>
    <w:rPr>
      <w:rFonts w:hint="eastAsia" w:ascii="宋体" w:hAnsi="宋体" w:eastAsia="宋体" w:cs="宋体"/>
      <w:b/>
      <w:color w:val="000000"/>
      <w:sz w:val="22"/>
      <w:szCs w:val="22"/>
      <w:u w:val="none"/>
    </w:rPr>
  </w:style>
  <w:style w:type="character" w:customStyle="1" w:styleId="44">
    <w:name w:val="font61"/>
    <w:qFormat/>
    <w:uiPriority w:val="0"/>
    <w:rPr>
      <w:rFonts w:hint="eastAsia" w:ascii="微软雅黑" w:hAnsi="微软雅黑" w:eastAsia="微软雅黑" w:cs="微软雅黑"/>
      <w:b/>
      <w:color w:val="000000"/>
      <w:sz w:val="22"/>
      <w:szCs w:val="22"/>
      <w:u w:val="none"/>
    </w:rPr>
  </w:style>
  <w:style w:type="character" w:customStyle="1" w:styleId="45">
    <w:name w:val="font31"/>
    <w:qFormat/>
    <w:uiPriority w:val="0"/>
    <w:rPr>
      <w:rFonts w:hint="eastAsia" w:ascii="宋体" w:hAnsi="宋体" w:eastAsia="宋体" w:cs="宋体"/>
      <w:b/>
      <w:color w:val="000000"/>
      <w:sz w:val="22"/>
      <w:szCs w:val="22"/>
      <w:u w:val="none"/>
    </w:rPr>
  </w:style>
  <w:style w:type="character" w:customStyle="1" w:styleId="46">
    <w:name w:val="（符号）邀请函中一、"/>
    <w:qFormat/>
    <w:uiPriority w:val="0"/>
    <w:rPr>
      <w:rFonts w:ascii="黑体" w:hAnsi="黑体" w:eastAsia="黑体" w:cs="Times New Roman"/>
      <w:b/>
      <w:bCs/>
      <w:sz w:val="24"/>
    </w:rPr>
  </w:style>
  <w:style w:type="character" w:customStyle="1" w:styleId="47">
    <w:name w:val="apple-converted-space"/>
    <w:qFormat/>
    <w:uiPriority w:val="0"/>
    <w:rPr>
      <w:rFonts w:ascii="Times New Roman" w:hAnsi="Times New Roman" w:eastAsia="宋体" w:cs="Times New Roman"/>
    </w:rPr>
  </w:style>
  <w:style w:type="character" w:customStyle="1" w:styleId="48">
    <w:name w:val="font11"/>
    <w:qFormat/>
    <w:uiPriority w:val="0"/>
    <w:rPr>
      <w:rFonts w:hint="eastAsia" w:ascii="宋体" w:hAnsi="宋体" w:eastAsia="宋体" w:cs="宋体"/>
      <w:color w:val="000000"/>
      <w:sz w:val="24"/>
      <w:szCs w:val="24"/>
      <w:u w:val="none"/>
    </w:rPr>
  </w:style>
  <w:style w:type="character" w:customStyle="1" w:styleId="49">
    <w:name w:val="font41"/>
    <w:qFormat/>
    <w:uiPriority w:val="0"/>
    <w:rPr>
      <w:rFonts w:hint="eastAsia" w:ascii="宋体" w:hAnsi="宋体" w:eastAsia="宋体" w:cs="宋体"/>
      <w:color w:val="000000"/>
      <w:sz w:val="24"/>
      <w:szCs w:val="24"/>
      <w:u w:val="none"/>
    </w:rPr>
  </w:style>
  <w:style w:type="character" w:customStyle="1" w:styleId="50">
    <w:name w:val="页码1"/>
    <w:qFormat/>
    <w:uiPriority w:val="0"/>
    <w:rPr>
      <w:rFonts w:ascii="Times New Roman" w:hAnsi="Times New Roman" w:eastAsia="宋体" w:cs="Times New Roman"/>
    </w:rPr>
  </w:style>
  <w:style w:type="paragraph" w:customStyle="1" w:styleId="51">
    <w:name w:val="Body Text 22"/>
    <w:basedOn w:val="1"/>
    <w:qFormat/>
    <w:uiPriority w:val="0"/>
    <w:pPr>
      <w:adjustRightInd w:val="0"/>
      <w:spacing w:line="300" w:lineRule="auto"/>
      <w:jc w:val="center"/>
      <w:textAlignment w:val="baseline"/>
    </w:pPr>
    <w:rPr>
      <w:rFonts w:hAnsi="宋体"/>
      <w:sz w:val="24"/>
    </w:rPr>
  </w:style>
  <w:style w:type="paragraph" w:customStyle="1" w:styleId="52">
    <w:name w:val="List Paragraph1"/>
    <w:basedOn w:val="1"/>
    <w:qFormat/>
    <w:uiPriority w:val="99"/>
    <w:pPr>
      <w:ind w:firstLine="420" w:firstLineChars="200"/>
    </w:pPr>
    <w:rPr>
      <w:rFonts w:ascii="Times New Roman"/>
      <w:szCs w:val="34"/>
    </w:rPr>
  </w:style>
  <w:style w:type="paragraph" w:customStyle="1" w:styleId="53">
    <w:name w:val="p0"/>
    <w:basedOn w:val="1"/>
    <w:qFormat/>
    <w:uiPriority w:val="0"/>
    <w:pPr>
      <w:widowControl/>
    </w:pPr>
    <w:rPr>
      <w:rFonts w:ascii="Times New Roman"/>
      <w:szCs w:val="21"/>
    </w:rPr>
  </w:style>
  <w:style w:type="paragraph" w:customStyle="1" w:styleId="54">
    <w:name w:val="正文缩进3"/>
    <w:basedOn w:val="1"/>
    <w:qFormat/>
    <w:uiPriority w:val="0"/>
    <w:pPr>
      <w:autoSpaceDE w:val="0"/>
      <w:autoSpaceDN w:val="0"/>
      <w:adjustRightInd w:val="0"/>
      <w:ind w:firstLine="420"/>
    </w:pPr>
    <w:rPr>
      <w:rFonts w:ascii="Times New Roman"/>
      <w:szCs w:val="21"/>
    </w:rPr>
  </w:style>
  <w:style w:type="paragraph" w:styleId="55">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56">
    <w:name w:val="+正文"/>
    <w:basedOn w:val="1"/>
    <w:qFormat/>
    <w:uiPriority w:val="0"/>
    <w:pPr>
      <w:spacing w:line="360" w:lineRule="auto"/>
      <w:ind w:firstLine="200" w:firstLineChars="200"/>
    </w:pPr>
    <w:rPr>
      <w:rFonts w:ascii="Times New Roman" w:eastAsia="楷体_GB2312"/>
      <w:szCs w:val="28"/>
    </w:rPr>
  </w:style>
  <w:style w:type="paragraph" w:customStyle="1" w:styleId="57">
    <w:name w:val="0"/>
    <w:qFormat/>
    <w:uiPriority w:val="0"/>
    <w:pPr>
      <w:snapToGrid w:val="0"/>
    </w:pPr>
    <w:rPr>
      <w:rFonts w:ascii="Times New Roman" w:hAnsi="Times New Roman" w:eastAsia="宋体" w:cs="Times New Roman"/>
      <w:lang w:val="en-US" w:eastAsia="zh-CN" w:bidi="ar-SA"/>
    </w:rPr>
  </w:style>
  <w:style w:type="paragraph" w:customStyle="1" w:styleId="58">
    <w:name w:val="样式 首行缩进:  2 字符"/>
    <w:basedOn w:val="1"/>
    <w:qFormat/>
    <w:uiPriority w:val="0"/>
    <w:pPr>
      <w:spacing w:line="400" w:lineRule="exact"/>
      <w:ind w:firstLine="200" w:firstLineChars="200"/>
    </w:pPr>
    <w:rPr>
      <w:rFonts w:ascii="Times New Roman" w:cs="宋体"/>
      <w:sz w:val="24"/>
    </w:rPr>
  </w:style>
  <w:style w:type="paragraph" w:customStyle="1" w:styleId="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0">
    <w:name w:val="列出段落1"/>
    <w:basedOn w:val="1"/>
    <w:qFormat/>
    <w:uiPriority w:val="0"/>
    <w:pPr>
      <w:ind w:firstLine="420" w:firstLineChars="200"/>
    </w:pPr>
    <w:rPr>
      <w:rFonts w:ascii="Times New Roman"/>
    </w:rPr>
  </w:style>
  <w:style w:type="paragraph" w:customStyle="1" w:styleId="61">
    <w:name w:val="kerning2lochf13hichaf2db"/>
    <w:qFormat/>
    <w:uiPriority w:val="0"/>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paragraph" w:customStyle="1" w:styleId="62">
    <w:name w:val="Table Paragraph"/>
    <w:basedOn w:val="1"/>
    <w:qFormat/>
    <w:uiPriority w:val="1"/>
    <w:pPr>
      <w:autoSpaceDE w:val="0"/>
      <w:autoSpaceDN w:val="0"/>
      <w:jc w:val="left"/>
    </w:pPr>
    <w:rPr>
      <w:rFonts w:hAnsi="宋体" w:cs="宋体"/>
      <w:sz w:val="22"/>
      <w:szCs w:val="22"/>
      <w:lang w:eastAsia="en-US"/>
    </w:rPr>
  </w:style>
  <w:style w:type="paragraph" w:customStyle="1" w:styleId="63">
    <w:name w:val="标题 5（有编号）（绿盟科技）"/>
    <w:basedOn w:val="1"/>
    <w:next w:val="1"/>
    <w:qFormat/>
    <w:uiPriority w:val="0"/>
    <w:pPr>
      <w:keepNext/>
      <w:keepLines/>
      <w:spacing w:before="280" w:after="156" w:line="377" w:lineRule="auto"/>
      <w:outlineLvl w:val="4"/>
    </w:pPr>
    <w:rPr>
      <w:rFonts w:ascii="Arial" w:hAnsi="Arial" w:eastAsia="黑体"/>
      <w:b/>
      <w:szCs w:val="28"/>
    </w:rPr>
  </w:style>
  <w:style w:type="paragraph" w:customStyle="1" w:styleId="64">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65">
    <w:name w:val="Char1 Char Char Char"/>
    <w:basedOn w:val="1"/>
    <w:qFormat/>
    <w:uiPriority w:val="0"/>
    <w:rPr>
      <w:rFonts w:ascii="Times New Roman" w:eastAsia="仿宋_GB2312"/>
      <w:sz w:val="28"/>
    </w:rPr>
  </w:style>
  <w:style w:type="paragraph" w:customStyle="1" w:styleId="66">
    <w:name w:val="标准文本"/>
    <w:basedOn w:val="1"/>
    <w:qFormat/>
    <w:uiPriority w:val="0"/>
    <w:pPr>
      <w:spacing w:line="360" w:lineRule="auto"/>
      <w:ind w:firstLine="480" w:firstLineChars="200"/>
    </w:pPr>
    <w:rPr>
      <w:rFonts w:ascii="Times New Roman" w:cs="宋体"/>
      <w:sz w:val="24"/>
    </w:rPr>
  </w:style>
  <w:style w:type="paragraph" w:customStyle="1" w:styleId="67">
    <w:name w:val="表格"/>
    <w:basedOn w:val="1"/>
    <w:qFormat/>
    <w:uiPriority w:val="0"/>
    <w:pPr>
      <w:spacing w:line="400" w:lineRule="exact"/>
    </w:pPr>
    <w:rPr>
      <w:rFonts w:ascii="Times New Roman"/>
      <w:sz w:val="24"/>
    </w:rPr>
  </w:style>
  <w:style w:type="paragraph" w:customStyle="1" w:styleId="68">
    <w:name w:val="规划正文"/>
    <w:basedOn w:val="1"/>
    <w:qFormat/>
    <w:uiPriority w:val="0"/>
    <w:pPr>
      <w:spacing w:beforeLines="100" w:line="360" w:lineRule="auto"/>
      <w:ind w:firstLine="200" w:firstLineChars="200"/>
      <w:jc w:val="left"/>
    </w:pPr>
    <w:rPr>
      <w:rFonts w:ascii="Arial" w:hAnsi="Arial" w:eastAsia="仿宋_GB2312"/>
      <w:bCs/>
      <w:sz w:val="28"/>
    </w:rPr>
  </w:style>
  <w:style w:type="paragraph" w:customStyle="1" w:styleId="69">
    <w:name w:val="pa-8"/>
    <w:basedOn w:val="1"/>
    <w:qFormat/>
    <w:uiPriority w:val="0"/>
    <w:pPr>
      <w:widowControl/>
      <w:spacing w:before="150" w:after="150"/>
      <w:jc w:val="left"/>
    </w:pPr>
    <w:rPr>
      <w:rFonts w:hAnsi="宋体" w:cs="宋体"/>
      <w:sz w:val="24"/>
      <w:szCs w:val="24"/>
    </w:rPr>
  </w:style>
  <w:style w:type="paragraph" w:customStyle="1" w:styleId="70">
    <w:name w:val="左对齐的表内文字1"/>
    <w:basedOn w:val="1"/>
    <w:qFormat/>
    <w:uiPriority w:val="0"/>
    <w:rPr>
      <w:rFonts w:ascii="Times New Roman"/>
    </w:rPr>
  </w:style>
  <w:style w:type="paragraph" w:customStyle="1" w:styleId="7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72">
    <w:name w:val="List Paragraph"/>
    <w:basedOn w:val="1"/>
    <w:qFormat/>
    <w:uiPriority w:val="0"/>
    <w:pPr>
      <w:ind w:firstLine="420" w:firstLineChars="200"/>
    </w:pPr>
    <w:rPr>
      <w:rFonts w:ascii="Times New Roman"/>
      <w:sz w:val="18"/>
      <w:szCs w:val="18"/>
    </w:rPr>
  </w:style>
  <w:style w:type="paragraph" w:customStyle="1" w:styleId="73">
    <w:name w:val="正文首行缩进两字符"/>
    <w:basedOn w:val="1"/>
    <w:qFormat/>
    <w:uiPriority w:val="0"/>
    <w:pPr>
      <w:spacing w:line="360" w:lineRule="auto"/>
      <w:ind w:firstLine="200" w:firstLineChars="200"/>
    </w:pPr>
    <w:rPr>
      <w:rFonts w:ascii="Times New Roman"/>
    </w:rPr>
  </w:style>
  <w:style w:type="paragraph" w:customStyle="1" w:styleId="74">
    <w:name w:val="_Style 2"/>
    <w:basedOn w:val="1"/>
    <w:qFormat/>
    <w:uiPriority w:val="34"/>
    <w:pPr>
      <w:ind w:firstLine="420" w:firstLineChars="200"/>
    </w:pPr>
    <w:rPr>
      <w:rFonts w:ascii="Calibri" w:hAnsi="Calibri"/>
    </w:rPr>
  </w:style>
  <w:style w:type="paragraph" w:customStyle="1" w:styleId="75">
    <w:name w:val="小四正文"/>
    <w:basedOn w:val="1"/>
    <w:next w:val="1"/>
    <w:qFormat/>
    <w:locked/>
    <w:uiPriority w:val="99"/>
    <w:pPr>
      <w:spacing w:line="360" w:lineRule="auto"/>
      <w:ind w:firstLine="200" w:firstLineChars="200"/>
    </w:pPr>
    <w:rPr>
      <w:rFonts w:ascii="Calibri" w:hAnsi="Calibri"/>
      <w:kern w:val="2"/>
      <w:sz w:val="24"/>
      <w:szCs w:val="28"/>
    </w:rPr>
  </w:style>
  <w:style w:type="paragraph" w:customStyle="1" w:styleId="76">
    <w:name w:val="_Style 3"/>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41</Pages>
  <Words>14647</Words>
  <Characters>15283</Characters>
  <Lines>120</Lines>
  <Paragraphs>33</Paragraphs>
  <TotalTime>157</TotalTime>
  <ScaleCrop>false</ScaleCrop>
  <LinksUpToDate>false</LinksUpToDate>
  <CharactersWithSpaces>15674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2021-08-06T09:00:00Z</dcterms:created>
  <dc:creator>微软用户</dc:creator>
  <cp:lastModifiedBy>Administrator</cp:lastModifiedBy>
  <cp:lastPrinted>2015-08-20T10:29:00Z</cp:lastPrinted>
  <dcterms:modified xsi:type="dcterms:W3CDTF">2022-06-13T06:24:22Z</dcterms:modified>
  <dc:title>招标编号：SCSZ-2013-02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5A43759077224BF3986FC21DFD700216</vt:lpwstr>
  </property>
  <property fmtid="{D5CDD505-2E9C-101B-9397-08002B2CF9AE}" pid="4" name="commondata">
    <vt:lpwstr>eyJoZGlkIjoiYTgwNTIzMjJhZGI1M2M2NzgzYzA5MThjNzMwZTY1ZmIifQ==</vt:lpwstr>
  </property>
</Properties>
</file>