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学生公寓智慧生活服务点供应商遴选</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采购编号：TZY-ZB-2022016</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 7</w:t>
      </w:r>
      <w:r>
        <w:rPr>
          <w:rFonts w:hint="eastAsia" w:hAnsi="宋体" w:cs="宋体"/>
          <w:bCs/>
          <w:sz w:val="30"/>
          <w:szCs w:val="30"/>
          <w:lang w:val="zh-CN"/>
        </w:rPr>
        <w:t>月</w:t>
      </w:r>
      <w:bookmarkStart w:id="0" w:name="_Hlt101843627"/>
      <w:bookmarkEnd w:id="0"/>
      <w:bookmarkStart w:id="1" w:name="_Hlt10123373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6"/>
          <w:rFonts w:ascii="宋体" w:hAnsi="宋体" w:cs="宋体"/>
          <w:color w:val="auto"/>
          <w:kern w:val="2"/>
          <w:sz w:val="44"/>
          <w:szCs w:val="44"/>
          <w:u w:val="none"/>
        </w:rPr>
      </w:pPr>
      <w:r>
        <w:rPr>
          <w:rStyle w:val="26"/>
          <w:rFonts w:hint="eastAsia" w:ascii="宋体" w:hAnsi="宋体" w:cs="宋体"/>
          <w:color w:val="auto"/>
          <w:kern w:val="2"/>
          <w:sz w:val="44"/>
          <w:szCs w:val="44"/>
          <w:u w:val="none"/>
        </w:rPr>
        <w:t>目    录</w:t>
      </w:r>
    </w:p>
    <w:p/>
    <w:p>
      <w:pPr>
        <w:pStyle w:val="15"/>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5"/>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7</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4</w:t>
      </w:r>
    </w:p>
    <w:p>
      <w:pPr>
        <w:pStyle w:val="15"/>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4</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学生公寓智慧生活服务点供应商遴选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9"/>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TZY--ZB-2022016</w:t>
      </w:r>
    </w:p>
    <w:p>
      <w:pPr>
        <w:pStyle w:val="9"/>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学生公寓智慧生活服务点供应商遴选</w:t>
      </w:r>
    </w:p>
    <w:p>
      <w:pPr>
        <w:pStyle w:val="9"/>
        <w:snapToGrid w:val="0"/>
        <w:spacing w:line="360" w:lineRule="auto"/>
        <w:ind w:firstLine="441" w:firstLineChars="183"/>
        <w:rPr>
          <w:rFonts w:ascii="宋体" w:hAnsi="宋体" w:cs="宋体"/>
          <w:bCs/>
          <w:sz w:val="24"/>
          <w:szCs w:val="24"/>
        </w:rPr>
      </w:pPr>
      <w:r>
        <w:rPr>
          <w:rFonts w:hint="eastAsia" w:ascii="宋体" w:hAnsi="宋体" w:cs="宋体"/>
          <w:b/>
          <w:sz w:val="24"/>
          <w:szCs w:val="24"/>
        </w:rPr>
        <w:t>三、资金来源：</w:t>
      </w:r>
      <w:r>
        <w:rPr>
          <w:rFonts w:hint="eastAsia" w:ascii="宋体" w:hAnsi="宋体" w:cs="宋体"/>
          <w:bCs/>
          <w:sz w:val="24"/>
          <w:szCs w:val="24"/>
        </w:rPr>
        <w:t>其它</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9"/>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b/>
          <w:sz w:val="24"/>
          <w:szCs w:val="24"/>
        </w:rPr>
      </w:pPr>
    </w:p>
    <w:p>
      <w:pPr>
        <w:snapToGrid w:val="0"/>
        <w:spacing w:line="360" w:lineRule="auto"/>
        <w:ind w:firstLine="479" w:firstLineChars="199"/>
        <w:rPr>
          <w:rFonts w:hAnsi="宋体" w:cs="宋体"/>
          <w:sz w:val="24"/>
          <w:szCs w:val="24"/>
        </w:rPr>
      </w:pPr>
      <w:r>
        <w:rPr>
          <w:rFonts w:hint="eastAsia" w:hAnsi="宋体" w:cs="宋体"/>
          <w:b/>
          <w:sz w:val="24"/>
          <w:szCs w:val="24"/>
        </w:rPr>
        <w:t>六、投标截止时间和开标时间：</w:t>
      </w:r>
      <w:r>
        <w:rPr>
          <w:rFonts w:hint="eastAsia" w:hAnsi="宋体" w:cs="宋体"/>
          <w:bCs/>
          <w:sz w:val="24"/>
          <w:szCs w:val="24"/>
        </w:rPr>
        <w:t>2022</w:t>
      </w:r>
      <w:r>
        <w:rPr>
          <w:rFonts w:hint="eastAsia" w:hAnsi="宋体" w:cs="宋体"/>
          <w:b/>
          <w:sz w:val="24"/>
          <w:szCs w:val="24"/>
        </w:rPr>
        <w:t xml:space="preserve"> </w:t>
      </w:r>
      <w:r>
        <w:rPr>
          <w:rFonts w:hint="eastAsia" w:hAnsi="宋体" w:cs="宋体"/>
          <w:bCs/>
          <w:sz w:val="24"/>
          <w:szCs w:val="24"/>
        </w:rPr>
        <w:t xml:space="preserve">年 7 月 </w:t>
      </w:r>
      <w:r>
        <w:rPr>
          <w:rFonts w:hint="eastAsia" w:hAnsi="宋体" w:cs="宋体"/>
          <w:bCs/>
          <w:sz w:val="24"/>
          <w:szCs w:val="24"/>
          <w:lang w:val="en-US" w:eastAsia="zh-CN"/>
        </w:rPr>
        <w:t>15</w:t>
      </w:r>
      <w:r>
        <w:rPr>
          <w:rFonts w:hint="eastAsia" w:hAnsi="宋体" w:cs="宋体"/>
          <w:bCs/>
          <w:sz w:val="24"/>
          <w:szCs w:val="24"/>
        </w:rPr>
        <w:t xml:space="preserve"> 日10:00  </w:t>
      </w:r>
      <w:r>
        <w:rPr>
          <w:rFonts w:hint="eastAsia" w:hAnsi="宋体" w:cs="宋体"/>
          <w:sz w:val="24"/>
          <w:szCs w:val="24"/>
        </w:rPr>
        <w:t>（北京时间）。</w:t>
      </w:r>
    </w:p>
    <w:p>
      <w:pPr>
        <w:pStyle w:val="9"/>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四川成都郫县安德街道彭温路399号四川铁道职业学院后勤基建办公区2F评标室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9"/>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9"/>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四川成都郫县安德街道彭温路399号四川铁道职业学院后勤基建办公区2F评标室</w:t>
      </w:r>
    </w:p>
    <w:p>
      <w:pPr>
        <w:pStyle w:val="58"/>
        <w:snapToGrid w:val="0"/>
        <w:ind w:firstLine="479" w:firstLineChars="199"/>
        <w:rPr>
          <w:rFonts w:hAnsi="宋体" w:cs="宋体"/>
          <w:b/>
          <w:sz w:val="24"/>
          <w:szCs w:val="24"/>
        </w:rPr>
      </w:pP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19" w:firstLineChars="383"/>
        <w:rPr>
          <w:rFonts w:hAnsi="宋体" w:cs="宋体"/>
          <w:bCs/>
          <w:sz w:val="24"/>
        </w:rPr>
      </w:pPr>
    </w:p>
    <w:p>
      <w:pPr>
        <w:pStyle w:val="58"/>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8"/>
        <w:snapToGrid w:val="0"/>
        <w:ind w:firstLine="919" w:firstLineChars="383"/>
        <w:rPr>
          <w:rFonts w:hAnsi="宋体" w:cs="宋体"/>
          <w:sz w:val="24"/>
        </w:rPr>
      </w:pPr>
      <w:r>
        <w:rPr>
          <w:rFonts w:hint="eastAsia" w:hAnsi="宋体" w:cs="宋体"/>
          <w:sz w:val="24"/>
        </w:rPr>
        <w:t xml:space="preserve">联系人：贺老师 、赵老师  </w:t>
      </w:r>
    </w:p>
    <w:p>
      <w:pPr>
        <w:pStyle w:val="58"/>
        <w:snapToGrid w:val="0"/>
        <w:ind w:firstLine="919" w:firstLineChars="383"/>
        <w:rPr>
          <w:rFonts w:hAnsi="宋体" w:cs="宋体"/>
          <w:sz w:val="24"/>
        </w:rPr>
      </w:pPr>
      <w:r>
        <w:rPr>
          <w:rFonts w:hint="eastAsia" w:hAnsi="宋体" w:cs="宋体"/>
          <w:sz w:val="24"/>
        </w:rPr>
        <w:t xml:space="preserve">联系电话：028-68939969   </w:t>
      </w:r>
    </w:p>
    <w:p>
      <w:pPr>
        <w:pStyle w:val="58"/>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19"/>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496267"/>
      <w:bookmarkStart w:id="6" w:name="_Toc213397009"/>
      <w:bookmarkStart w:id="7" w:name="_Toc217446031"/>
      <w:bookmarkStart w:id="8" w:name="_Toc358883242"/>
      <w:bookmarkStart w:id="9" w:name="_Toc213396759"/>
      <w:bookmarkStart w:id="10" w:name="_Toc213396945"/>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213396760"/>
      <w:bookmarkStart w:id="12" w:name="_Toc189727030"/>
      <w:bookmarkStart w:id="13" w:name="_Toc213397010"/>
      <w:bookmarkStart w:id="14" w:name="_Toc217446032"/>
      <w:bookmarkStart w:id="15" w:name="_Toc213396946"/>
      <w:bookmarkStart w:id="16" w:name="_Toc213496268"/>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人：贺老师、赵老师</w:t>
            </w:r>
          </w:p>
          <w:p>
            <w:pPr>
              <w:pStyle w:val="60"/>
              <w:snapToGrid w:val="0"/>
              <w:spacing w:line="360" w:lineRule="auto"/>
              <w:ind w:firstLine="240" w:firstLineChars="100"/>
            </w:pPr>
            <w:r>
              <w:rPr>
                <w:rFonts w:hint="eastAsia"/>
                <w:lang w:val="zh-CN"/>
              </w:rPr>
              <w:t>联系电话：</w:t>
            </w:r>
            <w:r>
              <w:rPr>
                <w:rFonts w:hint="eastAsia"/>
              </w:rPr>
              <w:t>028-68939969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9"/>
              <w:snapToGrid w:val="0"/>
              <w:spacing w:line="360" w:lineRule="auto"/>
              <w:ind w:firstLine="0"/>
              <w:rPr>
                <w:lang w:val="zh-CN"/>
              </w:rPr>
            </w:pPr>
            <w:r>
              <w:rPr>
                <w:rFonts w:hint="eastAsia" w:hAnsi="宋体" w:cs="宋体"/>
                <w:bCs/>
                <w:sz w:val="24"/>
                <w:szCs w:val="24"/>
              </w:rPr>
              <w:t>学生公寓智慧生活服务点供应商遴选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pPr>
            <w:r>
              <w:rPr>
                <w:rFonts w:hint="eastAsia"/>
              </w:rPr>
              <w:t>TZY-ZB-2022016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lang w:val="zh-CN"/>
              </w:rPr>
              <w:t>其它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rPr>
                <w:rFonts w:hint="eastAsi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 07</w:t>
            </w:r>
            <w:r>
              <w:rPr>
                <w:rFonts w:hint="eastAsia"/>
                <w:lang w:val="en-US" w:eastAsia="zh-CN"/>
              </w:rPr>
              <w:t xml:space="preserve"> </w:t>
            </w:r>
            <w:r>
              <w:rPr>
                <w:rFonts w:hint="eastAsia"/>
              </w:rPr>
              <w:t>月</w:t>
            </w:r>
            <w:r>
              <w:rPr>
                <w:rFonts w:hint="eastAsia"/>
                <w:lang w:val="en-US" w:eastAsia="zh-CN"/>
              </w:rPr>
              <w:t xml:space="preserve">15 </w:t>
            </w:r>
            <w:bookmarkStart w:id="101" w:name="_GoBack"/>
            <w:bookmarkEnd w:id="101"/>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四川成都郫都区安德街道彭温路399号后勤基建办公区2F评标室</w:t>
            </w:r>
          </w:p>
        </w:tc>
      </w:tr>
    </w:tbl>
    <w:p>
      <w:pPr>
        <w:snapToGrid w:val="0"/>
        <w:spacing w:line="360" w:lineRule="auto"/>
        <w:rPr>
          <w:rFonts w:hAnsi="宋体" w:cs="宋体"/>
          <w:bCs/>
          <w:sz w:val="30"/>
          <w:szCs w:val="30"/>
        </w:rPr>
      </w:pPr>
    </w:p>
    <w:p>
      <w:pPr>
        <w:pStyle w:val="5"/>
        <w:snapToGrid w:val="0"/>
        <w:spacing w:before="0" w:after="0" w:line="360" w:lineRule="auto"/>
        <w:jc w:val="center"/>
        <w:rPr>
          <w:rFonts w:ascii="宋体" w:hAnsi="宋体" w:eastAsia="宋体" w:cs="宋体"/>
          <w:sz w:val="30"/>
          <w:szCs w:val="30"/>
        </w:rPr>
      </w:pPr>
      <w:bookmarkStart w:id="17" w:name="_Toc217446038"/>
      <w:bookmarkStart w:id="18" w:name="_Toc183682346"/>
      <w:bookmarkStart w:id="19" w:name="_Toc77400779"/>
      <w:bookmarkStart w:id="20" w:name="_Toc183582209"/>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217446039"/>
      <w:bookmarkStart w:id="23" w:name="_Toc183682347"/>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682348"/>
      <w:bookmarkStart w:id="26" w:name="_Toc183582211"/>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217446042"/>
      <w:bookmarkStart w:id="29" w:name="_Toc183582214"/>
      <w:bookmarkStart w:id="30" w:name="_Toc183682351"/>
      <w:bookmarkStart w:id="31" w:name="_Toc77400780"/>
      <w:bookmarkStart w:id="32" w:name="_Toc89075876"/>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682352"/>
      <w:bookmarkStart w:id="35" w:name="_Toc183582215"/>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9"/>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582217"/>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682355"/>
      <w:bookmarkStart w:id="44" w:name="_Toc183582218"/>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9"/>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9"/>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9"/>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9"/>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9"/>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（1）投标产品的品牌、型号、配置；</w:t>
      </w:r>
    </w:p>
    <w:p>
      <w:pPr>
        <w:pStyle w:val="9"/>
        <w:snapToGrid w:val="0"/>
        <w:spacing w:line="360" w:lineRule="auto"/>
        <w:ind w:firstLine="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9"/>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183582224"/>
      <w:bookmarkStart w:id="47" w:name="_Toc183682361"/>
      <w:bookmarkStart w:id="48" w:name="_Toc21744605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89075877"/>
      <w:bookmarkStart w:id="51" w:name="_Toc183682363"/>
      <w:bookmarkStart w:id="52" w:name="_Toc77400781"/>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682364"/>
      <w:bookmarkStart w:id="55" w:name="_Toc183582227"/>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183682368"/>
      <w:bookmarkStart w:id="61" w:name="_Toc89075878"/>
      <w:bookmarkStart w:id="62" w:name="_Toc217446056"/>
      <w:bookmarkStart w:id="63" w:name="_Toc183582231"/>
      <w:bookmarkStart w:id="64" w:name="_Toc77400782"/>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582232"/>
      <w:bookmarkStart w:id="66" w:name="_Toc217446057"/>
      <w:bookmarkStart w:id="67" w:name="_Toc183682369"/>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582240"/>
      <w:bookmarkStart w:id="73"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582243"/>
      <w:bookmarkStart w:id="80"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1"/>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bookmarkStart w:id="84" w:name="_Toc358883243"/>
    </w:p>
    <w:p>
      <w:pPr>
        <w:pStyle w:val="11"/>
        <w:snapToGrid w:val="0"/>
        <w:spacing w:line="360" w:lineRule="auto"/>
        <w:ind w:firstLine="480" w:firstLineChars="200"/>
        <w:rPr>
          <w:rFonts w:hAnsi="宋体" w:cs="宋体"/>
          <w:sz w:val="24"/>
        </w:rPr>
      </w:pPr>
    </w:p>
    <w:p>
      <w:pPr>
        <w:pStyle w:val="11"/>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pStyle w:val="4"/>
        <w:snapToGrid w:val="0"/>
        <w:spacing w:before="0" w:after="0" w:line="360" w:lineRule="auto"/>
        <w:jc w:val="center"/>
        <w:rPr>
          <w:rFonts w:hAnsi="宋体" w:cs="宋体"/>
          <w:sz w:val="30"/>
          <w:szCs w:val="30"/>
        </w:rPr>
      </w:pPr>
    </w:p>
    <w:p>
      <w:pPr>
        <w:rPr>
          <w:rFonts w:ascii="Times New Roman"/>
        </w:rPr>
      </w:pPr>
    </w:p>
    <w:p>
      <w:pPr>
        <w:pStyle w:val="4"/>
        <w:snapToGrid w:val="0"/>
        <w:spacing w:before="0" w:after="0" w:line="360" w:lineRule="auto"/>
        <w:jc w:val="center"/>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1"/>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1"/>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1"/>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1"/>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1"/>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1"/>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87" w:name="_Toc263753600"/>
      <w:bookmarkStart w:id="88" w:name="_Toc256175382"/>
      <w:bookmarkStart w:id="89" w:name="_Toc250041691"/>
      <w:bookmarkStart w:id="90" w:name="_Toc297204985"/>
      <w:bookmarkStart w:id="91" w:name="_Toc237145385"/>
      <w:bookmarkStart w:id="92" w:name="_Toc263768864"/>
      <w:bookmarkStart w:id="93" w:name="_Toc217446085"/>
    </w:p>
    <w:bookmarkEnd w:id="87"/>
    <w:bookmarkEnd w:id="88"/>
    <w:bookmarkEnd w:id="89"/>
    <w:bookmarkEnd w:id="90"/>
    <w:bookmarkEnd w:id="91"/>
    <w:bookmarkEnd w:id="92"/>
    <w:p>
      <w:pPr>
        <w:adjustRightInd w:val="0"/>
        <w:snapToGrid w:val="0"/>
        <w:spacing w:line="360" w:lineRule="auto"/>
        <w:jc w:val="left"/>
        <w:rPr>
          <w:rFonts w:hAnsi="宋体" w:cs="宋体"/>
          <w:bCs/>
          <w:spacing w:val="8"/>
          <w:sz w:val="24"/>
          <w:szCs w:val="24"/>
        </w:rPr>
        <w:sectPr>
          <w:footerReference r:id="rId6" w:type="default"/>
          <w:pgSz w:w="11907" w:h="16840"/>
          <w:pgMar w:top="1440" w:right="1080" w:bottom="1440" w:left="1080" w:header="851" w:footer="992" w:gutter="0"/>
          <w:cols w:space="720" w:num="1"/>
          <w:docGrid w:type="lines" w:linePitch="312" w:charSpace="0"/>
        </w:sectPr>
      </w:pPr>
    </w:p>
    <w:bookmarkEnd w:id="93"/>
    <w:p>
      <w:pPr>
        <w:widowControl/>
        <w:jc w:val="center"/>
        <w:rPr>
          <w:rFonts w:hint="default" w:hAnsi="宋体" w:eastAsia="宋体" w:cs="宋体"/>
          <w:lang w:val="en-US" w:eastAsia="zh-CN"/>
        </w:rPr>
      </w:pPr>
      <w:bookmarkStart w:id="94" w:name="_Toc123786888"/>
      <w:bookmarkStart w:id="95" w:name="_Toc315963014"/>
      <w:r>
        <w:rPr>
          <w:rFonts w:hint="eastAsia" w:hAnsi="宋体" w:cs="宋体"/>
        </w:rPr>
        <w:t>三、</w:t>
      </w:r>
      <w:r>
        <w:rPr>
          <w:rFonts w:hint="eastAsia" w:hAnsi="宋体" w:cs="宋体"/>
          <w:lang w:val="en-US" w:eastAsia="zh-CN"/>
        </w:rPr>
        <w:t>投标报价表</w:t>
      </w:r>
    </w:p>
    <w:p>
      <w:pPr>
        <w:adjustRightInd w:val="0"/>
        <w:snapToGrid w:val="0"/>
        <w:spacing w:line="360" w:lineRule="auto"/>
        <w:rPr>
          <w:rFonts w:hint="eastAsia" w:ascii="仿宋_GB2312" w:hAnsi="宋体" w:eastAsia="仿宋_GB2312"/>
          <w:sz w:val="28"/>
          <w:szCs w:val="28"/>
        </w:rPr>
      </w:pP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top"/>
          </w:tcPr>
          <w:p>
            <w:pPr>
              <w:adjustRightInd w:val="0"/>
              <w:snapToGrid w:val="0"/>
              <w:spacing w:line="360" w:lineRule="auto"/>
              <w:jc w:val="both"/>
              <w:rPr>
                <w:rFonts w:hint="default" w:ascii="仿宋_GB2312" w:hAnsi="宋体" w:eastAsia="仿宋_GB2312"/>
                <w:u w:val="single"/>
                <w:lang w:val="en-US" w:eastAsia="zh-CN"/>
              </w:rPr>
            </w:pPr>
            <w:r>
              <w:rPr>
                <w:rFonts w:hint="eastAsia" w:ascii="仿宋_GB2312" w:hAnsi="宋体" w:eastAsia="仿宋_GB2312"/>
                <w:u w:val="none"/>
                <w:lang w:val="en-US" w:eastAsia="zh-CN"/>
              </w:rPr>
              <w:t>如按比例报价，将“投标总价”改为适用格式即可</w:t>
            </w: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bookmarkEnd w:id="94"/>
    <w:p>
      <w:pPr>
        <w:adjustRightInd w:val="0"/>
        <w:snapToGrid w:val="0"/>
        <w:spacing w:line="360" w:lineRule="auto"/>
        <w:rPr>
          <w:rFonts w:ascii="仿宋_GB2312" w:hAnsi="宋体" w:eastAsia="仿宋_GB2312"/>
          <w:sz w:val="24"/>
          <w:u w:val="single"/>
        </w:rPr>
      </w:pPr>
    </w:p>
    <w:p>
      <w:pPr>
        <w:pStyle w:val="5"/>
        <w:snapToGrid w:val="0"/>
        <w:spacing w:before="0" w:after="0" w:line="360" w:lineRule="auto"/>
        <w:ind w:firstLine="2891" w:firstLineChars="900"/>
        <w:jc w:val="both"/>
        <w:rPr>
          <w:rFonts w:ascii="宋体" w:hAnsi="宋体" w:eastAsia="宋体" w:cs="宋体"/>
        </w:rPr>
      </w:pPr>
      <w:r>
        <w:rPr>
          <w:rFonts w:hint="eastAsia" w:ascii="宋体" w:hAnsi="宋体" w:eastAsia="宋体" w:cs="宋体"/>
          <w:lang w:val="en-US" w:eastAsia="zh-CN"/>
        </w:rPr>
        <w:t>四</w:t>
      </w:r>
      <w:r>
        <w:rPr>
          <w:rFonts w:hint="eastAsia" w:ascii="宋体" w:hAnsi="宋体" w:eastAsia="宋体" w:cs="宋体"/>
        </w:rPr>
        <w:t>、分项报价明细表</w:t>
      </w:r>
      <w:bookmarkEnd w:id="9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7"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96"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lang w:val="en-US" w:eastAsia="zh-CN"/>
        </w:rPr>
        <w:t>五</w:t>
      </w:r>
      <w:r>
        <w:rPr>
          <w:rFonts w:hint="eastAsia" w:ascii="宋体" w:hAnsi="宋体" w:eastAsia="宋体" w:cs="宋体"/>
        </w:rPr>
        <w:t>、商务应答表</w:t>
      </w:r>
      <w:bookmarkEnd w:id="96"/>
    </w:p>
    <w:p>
      <w:pPr>
        <w:pStyle w:val="14"/>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pPr w:leftFromText="180" w:rightFromText="180" w:vertAnchor="text" w:horzAnchor="page" w:tblpX="967" w:tblpY="6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3079"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3079"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lang w:val="en-US" w:eastAsia="zh-CN"/>
        </w:rPr>
        <w:t>六</w:t>
      </w:r>
      <w:r>
        <w:rPr>
          <w:rFonts w:hint="eastAsia" w:ascii="宋体" w:hAnsi="宋体" w:eastAsia="宋体" w:cs="宋体"/>
        </w:rPr>
        <w:t>、投标人近三年类似项目业绩一览表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ind w:left="680" w:firstLine="680"/>
      </w:pPr>
      <w:r>
        <w:br w:type="page"/>
      </w:r>
    </w:p>
    <w:p>
      <w:pPr>
        <w:spacing w:line="440" w:lineRule="exact"/>
        <w:ind w:firstLine="3315" w:firstLineChars="975"/>
        <w:jc w:val="both"/>
        <w:rPr>
          <w:rFonts w:hint="eastAsia" w:hAnsi="宋体" w:cs="宋体"/>
          <w:lang w:val="en-US" w:eastAsia="zh-CN"/>
        </w:rPr>
      </w:pPr>
    </w:p>
    <w:p>
      <w:pPr>
        <w:spacing w:line="440" w:lineRule="exact"/>
        <w:ind w:firstLine="3315" w:firstLineChars="975"/>
        <w:jc w:val="both"/>
        <w:rPr>
          <w:rFonts w:hAnsi="宋体" w:cs="宋体"/>
        </w:rPr>
      </w:pPr>
      <w:r>
        <w:rPr>
          <w:rFonts w:hint="eastAsia" w:hAnsi="宋体" w:cs="宋体"/>
          <w:lang w:val="en-US" w:eastAsia="zh-CN"/>
        </w:rPr>
        <w:t>七</w:t>
      </w:r>
      <w:r>
        <w:rPr>
          <w:rFonts w:hint="eastAsia" w:hAnsi="宋体" w:cs="宋体"/>
        </w:rPr>
        <w:t>、承诺函</w:t>
      </w:r>
    </w:p>
    <w:p>
      <w:pPr>
        <w:rPr>
          <w:rFonts w:hint="eastAsia" w:hAnsi="宋体"/>
          <w:sz w:val="24"/>
        </w:rPr>
      </w:pPr>
      <w:r>
        <w:rPr>
          <w:rFonts w:hint="eastAsia" w:hAnsi="宋体"/>
          <w:sz w:val="24"/>
        </w:rPr>
        <w:t>四川铁道职业学院：</w:t>
      </w:r>
    </w:p>
    <w:p>
      <w:pPr>
        <w:ind w:firstLine="480" w:firstLineChars="200"/>
        <w:rPr>
          <w:rFonts w:hint="eastAsia" w:hAnsi="宋体"/>
          <w:sz w:val="24"/>
        </w:rPr>
      </w:pPr>
      <w:r>
        <w:rPr>
          <w:rFonts w:hint="eastAsia" w:hAnsi="宋体"/>
          <w:sz w:val="24"/>
        </w:rPr>
        <w:t>我公司作为本次采购项目的供应商，根据</w:t>
      </w:r>
      <w:r>
        <w:rPr>
          <w:rFonts w:hint="eastAsia" w:hAnsi="宋体"/>
          <w:sz w:val="24"/>
          <w:lang w:val="en-US" w:eastAsia="zh-CN"/>
        </w:rPr>
        <w:t>招标</w:t>
      </w:r>
      <w:r>
        <w:rPr>
          <w:rFonts w:hint="eastAsia" w:hAnsi="宋体"/>
          <w:sz w:val="24"/>
        </w:rPr>
        <w:t>文件要求，现郑重承诺如下：</w:t>
      </w:r>
    </w:p>
    <w:p>
      <w:pPr>
        <w:pStyle w:val="3"/>
        <w:rPr>
          <w:rFonts w:ascii="宋体" w:hAnsi="宋体"/>
          <w:sz w:val="24"/>
          <w:szCs w:val="22"/>
        </w:rPr>
      </w:pPr>
      <w:r>
        <w:rPr>
          <w:rFonts w:hint="eastAsia" w:ascii="宋体" w:hAnsi="宋体"/>
          <w:sz w:val="24"/>
          <w:szCs w:val="22"/>
        </w:rPr>
        <w:t>（</w:t>
      </w:r>
      <w:r>
        <w:rPr>
          <w:rFonts w:hint="eastAsia" w:ascii="宋体" w:hAnsi="宋体"/>
          <w:sz w:val="24"/>
          <w:szCs w:val="22"/>
          <w:lang w:val="en-US" w:eastAsia="zh-CN"/>
        </w:rPr>
        <w:t>一</w:t>
      </w:r>
      <w:r>
        <w:rPr>
          <w:rFonts w:hint="eastAsia" w:ascii="宋体" w:hAnsi="宋体"/>
          <w:sz w:val="24"/>
          <w:szCs w:val="22"/>
        </w:rPr>
        <w:t>）我公司</w:t>
      </w:r>
      <w:r>
        <w:rPr>
          <w:rFonts w:hint="eastAsia" w:hAnsi="宋体" w:cs="宋体"/>
          <w:sz w:val="24"/>
        </w:rPr>
        <w:t>严格遵守《食品安全法》和学校的有关规定，确保经销食品质量；</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二</w:t>
      </w:r>
      <w:r>
        <w:rPr>
          <w:rFonts w:hint="eastAsia" w:hAnsi="宋体" w:cs="宋体"/>
          <w:sz w:val="24"/>
        </w:rPr>
        <w:t>）我公司积极配合接受上级卫生监督部门、学校后勤管理部门对食品卫生、合作范围等方面的检查、监督；</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三</w:t>
      </w:r>
      <w:r>
        <w:rPr>
          <w:rFonts w:hint="eastAsia" w:hAnsi="宋体" w:cs="宋体"/>
          <w:sz w:val="24"/>
        </w:rPr>
        <w:t>）合作期间的税金、工商管理、卫生、防疫、宣传等费用由我公司承担，并同时承担与之有关的一切法律责任；</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四</w:t>
      </w:r>
      <w:r>
        <w:rPr>
          <w:rFonts w:hint="eastAsia" w:hAnsi="宋体" w:cs="宋体"/>
          <w:sz w:val="24"/>
        </w:rPr>
        <w:t>）我公司不得擅自改变合作场所的房屋结构，不得私接水电。擅自改变的，中标供应商负责恢复原状，并承担由此造成的一切损失；</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五</w:t>
      </w:r>
      <w:r>
        <w:rPr>
          <w:rFonts w:hint="eastAsia" w:hAnsi="宋体" w:cs="宋体"/>
          <w:sz w:val="24"/>
        </w:rPr>
        <w:t>）我公司作好安全、卫生（门前实行三包）、防火、防盗、防水及维持秩序等工作。由此引发事故造成损失的由合作单位负完全赔偿责任；</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六</w:t>
      </w:r>
      <w:r>
        <w:rPr>
          <w:rFonts w:hint="eastAsia" w:hAnsi="宋体" w:cs="宋体"/>
          <w:sz w:val="24"/>
        </w:rPr>
        <w:t>）我公司不得对该项目进行转让、转包、转租、分包、分租，否则采购人有权单方解除合同，不承担任何责任；</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七</w:t>
      </w:r>
      <w:r>
        <w:rPr>
          <w:rFonts w:hint="eastAsia" w:hAnsi="宋体" w:cs="宋体"/>
          <w:sz w:val="24"/>
        </w:rPr>
        <w:t>）我公司工作人员需符合国家有关超市从业人员上岗的相关规定，所发生的任何问题均由合作企业负责处理；</w:t>
      </w:r>
    </w:p>
    <w:p>
      <w:pPr>
        <w:spacing w:line="440" w:lineRule="exact"/>
        <w:rPr>
          <w:rFonts w:hAnsi="宋体" w:cs="宋体"/>
          <w:sz w:val="24"/>
        </w:rPr>
      </w:pPr>
      <w:r>
        <w:rPr>
          <w:rFonts w:hint="eastAsia" w:hAnsi="宋体" w:cs="宋体"/>
          <w:sz w:val="24"/>
        </w:rPr>
        <w:t>（</w:t>
      </w:r>
      <w:r>
        <w:rPr>
          <w:rFonts w:hint="eastAsia" w:hAnsi="宋体" w:cs="宋体"/>
          <w:sz w:val="24"/>
          <w:lang w:val="en-US" w:eastAsia="zh-CN"/>
        </w:rPr>
        <w:t>八</w:t>
      </w:r>
      <w:r>
        <w:rPr>
          <w:rFonts w:hint="eastAsia" w:hAnsi="宋体" w:cs="宋体"/>
          <w:sz w:val="24"/>
        </w:rPr>
        <w:t>）我公司保证所售产品的质量是符合国家或行业相关标准的，承担其因产品质量的引发的全部法律责任和经济责任。</w:t>
      </w:r>
    </w:p>
    <w:p>
      <w:pPr>
        <w:ind w:firstLine="480" w:firstLineChars="200"/>
        <w:rPr>
          <w:rFonts w:hint="eastAsia" w:hAnsi="宋体"/>
          <w:sz w:val="24"/>
        </w:rPr>
      </w:pPr>
    </w:p>
    <w:p>
      <w:pPr>
        <w:ind w:firstLine="480" w:firstLineChars="200"/>
        <w:rPr>
          <w:rFonts w:hint="eastAsia" w:hAnsi="宋体"/>
          <w:sz w:val="24"/>
        </w:rPr>
      </w:pPr>
      <w:r>
        <w:rPr>
          <w:rFonts w:hint="eastAsia" w:hAnsi="宋体"/>
          <w:sz w:val="24"/>
        </w:rPr>
        <w:t>本公司对上述承诺的内容事项真实性负责。如经查实上述承诺的内容事项存在虚假，我公司愿意接受以提供虚假材料谋取成交的法律责任。</w:t>
      </w:r>
    </w:p>
    <w:p>
      <w:pPr>
        <w:rPr>
          <w:rFonts w:hint="eastAsia" w:hAnsi="宋体"/>
          <w:sz w:val="24"/>
        </w:rPr>
      </w:pPr>
    </w:p>
    <w:p>
      <w:pPr>
        <w:rPr>
          <w:rFonts w:hint="eastAsia" w:hAnsi="宋体"/>
          <w:sz w:val="24"/>
        </w:rPr>
      </w:pPr>
    </w:p>
    <w:p>
      <w:pPr>
        <w:adjustRightInd w:val="0"/>
        <w:spacing w:line="400" w:lineRule="exact"/>
        <w:jc w:val="left"/>
        <w:rPr>
          <w:rFonts w:hint="eastAsia" w:hAnsi="宋体"/>
          <w:sz w:val="24"/>
        </w:rPr>
      </w:pPr>
      <w:r>
        <w:rPr>
          <w:rFonts w:hint="eastAsia" w:hAnsi="宋体"/>
          <w:sz w:val="24"/>
        </w:rPr>
        <w:t>供应商名称：XXX（盖单位公章）</w:t>
      </w:r>
    </w:p>
    <w:p>
      <w:pPr>
        <w:adjustRightInd w:val="0"/>
        <w:spacing w:line="400" w:lineRule="exact"/>
        <w:jc w:val="left"/>
        <w:rPr>
          <w:rFonts w:hint="eastAsia" w:hAnsi="宋体"/>
          <w:bCs/>
          <w:sz w:val="24"/>
        </w:rPr>
      </w:pPr>
      <w:r>
        <w:rPr>
          <w:rFonts w:hint="eastAsia" w:hAnsi="宋体"/>
          <w:bCs/>
          <w:sz w:val="24"/>
        </w:rPr>
        <w:t>法定代表人或授权代表（签字或盖章）：XXX</w:t>
      </w:r>
    </w:p>
    <w:p>
      <w:pPr>
        <w:adjustRightInd w:val="0"/>
        <w:spacing w:line="400" w:lineRule="exact"/>
        <w:jc w:val="left"/>
        <w:rPr>
          <w:rFonts w:hint="eastAsia" w:hAnsi="宋体"/>
          <w:bCs/>
          <w:sz w:val="24"/>
        </w:rPr>
      </w:pPr>
      <w:r>
        <w:rPr>
          <w:rFonts w:hint="eastAsia" w:hAnsi="宋体"/>
          <w:bCs/>
          <w:sz w:val="24"/>
        </w:rPr>
        <w:t>日  期：XXX年XXX月XXX日</w:t>
      </w:r>
    </w:p>
    <w:p>
      <w:pPr>
        <w:pStyle w:val="2"/>
        <w:ind w:left="680" w:firstLine="680"/>
        <w:rPr>
          <w:rFonts w:hint="eastAsia"/>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pStyle w:val="2"/>
        <w:ind w:left="680" w:firstLine="680"/>
        <w:rPr>
          <w:rFonts w:hint="eastAsia"/>
        </w:rPr>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7"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spacing w:line="440" w:lineRule="exact"/>
        <w:ind w:firstLine="562" w:firstLineChars="200"/>
        <w:rPr>
          <w:rFonts w:hAnsi="宋体" w:cs="宋体"/>
          <w:sz w:val="24"/>
        </w:rPr>
      </w:pPr>
      <w:bookmarkStart w:id="98" w:name="_Toc515612310"/>
      <w:r>
        <w:rPr>
          <w:rFonts w:hint="eastAsia" w:hAnsi="宋体" w:cs="宋体"/>
          <w:b/>
          <w:bCs/>
          <w:sz w:val="28"/>
          <w:szCs w:val="28"/>
        </w:rPr>
        <w:t>一、项目概述</w:t>
      </w:r>
    </w:p>
    <w:p>
      <w:pPr>
        <w:spacing w:line="440" w:lineRule="exact"/>
        <w:ind w:firstLine="480" w:firstLineChars="200"/>
        <w:rPr>
          <w:rFonts w:hAnsi="宋体" w:cs="宋体"/>
          <w:color w:val="000000"/>
          <w:sz w:val="24"/>
        </w:rPr>
      </w:pPr>
      <w:r>
        <w:rPr>
          <w:rFonts w:hint="eastAsia" w:hAnsi="宋体" w:cs="宋体"/>
          <w:color w:val="000000"/>
          <w:sz w:val="24"/>
        </w:rPr>
        <w:t>四川铁道职业学院是四川省教育厅直属的全日制公办普通高等学校。学校位于成都市郫都区，设安德、内江两个校区，占地585亩，建有教学实训楼、图书馆、学生公寓、学生食堂、多功能礼堂、运动场等校舍，建筑面积16.82万平方米。学校面向四川、重庆、云南、贵州、甘肃等五省（市）招生，全日制在校生</w:t>
      </w:r>
      <w:r>
        <w:rPr>
          <w:rFonts w:hAnsi="宋体" w:cs="宋体"/>
          <w:color w:val="000000"/>
          <w:sz w:val="24"/>
        </w:rPr>
        <w:t>5200</w:t>
      </w:r>
      <w:r>
        <w:rPr>
          <w:rFonts w:hint="eastAsia" w:hAnsi="宋体" w:cs="宋体"/>
          <w:color w:val="000000"/>
          <w:sz w:val="24"/>
        </w:rPr>
        <w:t>余人。学校环境宜人，文化氛围浓郁，办学近70年来，为铁道运输和城市轨道交通行业、地方经济发展培养了大批高素质技术技能人才，毕业生就业率和对口就业率长期分别保持在95%和85%以上。为更好地满足同学们的生活需求，提供多元化的生活配套服务，让同学们有更好地生活体验感，四川铁道职业学院采取校企合作方式，引入合作商对学生宿舍开设智能化、科技化生活服务点（详情如下表）；</w:t>
      </w:r>
    </w:p>
    <w:tbl>
      <w:tblPr>
        <w:tblStyle w:val="20"/>
        <w:tblW w:w="6540" w:type="dxa"/>
        <w:jc w:val="center"/>
        <w:tblLayout w:type="autofit"/>
        <w:tblCellMar>
          <w:top w:w="0" w:type="dxa"/>
          <w:left w:w="108" w:type="dxa"/>
          <w:bottom w:w="0" w:type="dxa"/>
          <w:right w:w="108" w:type="dxa"/>
        </w:tblCellMar>
      </w:tblPr>
      <w:tblGrid>
        <w:gridCol w:w="1380"/>
        <w:gridCol w:w="1720"/>
        <w:gridCol w:w="1720"/>
        <w:gridCol w:w="1720"/>
      </w:tblGrid>
      <w:tr>
        <w:tblPrEx>
          <w:tblCellMar>
            <w:top w:w="0" w:type="dxa"/>
            <w:left w:w="108" w:type="dxa"/>
            <w:bottom w:w="0" w:type="dxa"/>
            <w:right w:w="108" w:type="dxa"/>
          </w:tblCellMar>
        </w:tblPrEx>
        <w:trPr>
          <w:trHeight w:val="276"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pPr>
              <w:widowControl/>
              <w:spacing w:line="360" w:lineRule="auto"/>
              <w:jc w:val="center"/>
              <w:rPr>
                <w:rFonts w:ascii="等线" w:hAnsi="等线" w:eastAsia="等线" w:cs="宋体"/>
                <w:b/>
                <w:bCs/>
                <w:color w:val="000000" w:themeColor="text1"/>
                <w:sz w:val="22"/>
                <w:szCs w:val="22"/>
                <w14:textFill>
                  <w14:solidFill>
                    <w14:schemeClr w14:val="tx1"/>
                  </w14:solidFill>
                </w14:textFill>
              </w:rPr>
            </w:pPr>
            <w:r>
              <w:rPr>
                <w:rFonts w:hint="eastAsia" w:ascii="等线" w:hAnsi="等线" w:eastAsia="等线" w:cs="宋体"/>
                <w:b/>
                <w:bCs/>
                <w:color w:val="000000" w:themeColor="text1"/>
                <w:sz w:val="22"/>
                <w:szCs w:val="22"/>
                <w14:textFill>
                  <w14:solidFill>
                    <w14:schemeClr w14:val="tx1"/>
                  </w14:solidFill>
                </w14:textFill>
              </w:rPr>
              <w:t>地点</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pPr>
              <w:widowControl/>
              <w:spacing w:line="360" w:lineRule="auto"/>
              <w:jc w:val="center"/>
              <w:rPr>
                <w:rFonts w:ascii="等线" w:hAnsi="等线" w:eastAsia="等线" w:cs="宋体"/>
                <w:b/>
                <w:bCs/>
                <w:color w:val="000000" w:themeColor="text1"/>
                <w:sz w:val="22"/>
                <w:szCs w:val="22"/>
                <w14:textFill>
                  <w14:solidFill>
                    <w14:schemeClr w14:val="tx1"/>
                  </w14:solidFill>
                </w14:textFill>
              </w:rPr>
            </w:pPr>
            <w:r>
              <w:rPr>
                <w:rFonts w:hint="eastAsia" w:ascii="等线" w:hAnsi="等线" w:eastAsia="等线" w:cs="宋体"/>
                <w:b/>
                <w:bCs/>
                <w:color w:val="000000" w:themeColor="text1"/>
                <w:sz w:val="22"/>
                <w:szCs w:val="22"/>
                <w14:textFill>
                  <w14:solidFill>
                    <w14:schemeClr w14:val="tx1"/>
                  </w14:solidFill>
                </w14:textFill>
              </w:rPr>
              <w:t>类型</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pPr>
              <w:widowControl/>
              <w:spacing w:line="360" w:lineRule="auto"/>
              <w:jc w:val="center"/>
              <w:rPr>
                <w:rFonts w:ascii="等线" w:hAnsi="等线" w:eastAsia="等线" w:cs="宋体"/>
                <w:b/>
                <w:bCs/>
                <w:color w:val="000000" w:themeColor="text1"/>
                <w:sz w:val="22"/>
                <w:szCs w:val="22"/>
                <w14:textFill>
                  <w14:solidFill>
                    <w14:schemeClr w14:val="tx1"/>
                  </w14:solidFill>
                </w14:textFill>
              </w:rPr>
            </w:pPr>
            <w:r>
              <w:rPr>
                <w:rFonts w:hint="eastAsia" w:ascii="等线" w:hAnsi="等线" w:eastAsia="等线" w:cs="宋体"/>
                <w:b/>
                <w:bCs/>
                <w:color w:val="000000" w:themeColor="text1"/>
                <w:sz w:val="22"/>
                <w:szCs w:val="22"/>
                <w14:textFill>
                  <w14:solidFill>
                    <w14:schemeClr w14:val="tx1"/>
                  </w14:solidFill>
                </w14:textFill>
              </w:rPr>
              <w:t>人数</w:t>
            </w:r>
          </w:p>
        </w:tc>
        <w:tc>
          <w:tcPr>
            <w:tcW w:w="1720" w:type="dxa"/>
            <w:tcBorders>
              <w:top w:val="single" w:color="000000" w:sz="4" w:space="0"/>
              <w:left w:val="single" w:color="000000" w:sz="4" w:space="0"/>
              <w:bottom w:val="single" w:color="000000" w:sz="4" w:space="0"/>
              <w:right w:val="single" w:color="000000" w:sz="4" w:space="0"/>
            </w:tcBorders>
            <w:shd w:val="clear" w:color="000000" w:fill="FFFFFF" w:themeFill="background1"/>
            <w:noWrap/>
            <w:vAlign w:val="center"/>
          </w:tcPr>
          <w:p>
            <w:pPr>
              <w:widowControl/>
              <w:spacing w:line="360" w:lineRule="auto"/>
              <w:jc w:val="center"/>
              <w:rPr>
                <w:rFonts w:ascii="等线" w:hAnsi="等线" w:eastAsia="等线" w:cs="宋体"/>
                <w:b/>
                <w:bCs/>
                <w:color w:val="000000" w:themeColor="text1"/>
                <w:sz w:val="22"/>
                <w:szCs w:val="22"/>
                <w14:textFill>
                  <w14:solidFill>
                    <w14:schemeClr w14:val="tx1"/>
                  </w14:solidFill>
                </w14:textFill>
              </w:rPr>
            </w:pPr>
            <w:r>
              <w:rPr>
                <w:rFonts w:hint="eastAsia" w:ascii="等线" w:hAnsi="等线" w:eastAsia="等线" w:cs="宋体"/>
                <w:b/>
                <w:bCs/>
                <w:color w:val="000000" w:themeColor="text1"/>
                <w:sz w:val="22"/>
                <w:szCs w:val="22"/>
                <w14:textFill>
                  <w14:solidFill>
                    <w14:schemeClr w14:val="tx1"/>
                  </w14:solidFill>
                </w14:textFill>
              </w:rPr>
              <w:t>服务点面积m²</w:t>
            </w:r>
          </w:p>
        </w:tc>
      </w:tr>
      <w:tr>
        <w:tblPrEx>
          <w:tblCellMar>
            <w:top w:w="0" w:type="dxa"/>
            <w:left w:w="108" w:type="dxa"/>
            <w:bottom w:w="0" w:type="dxa"/>
            <w:right w:w="108" w:type="dxa"/>
          </w:tblCellMar>
        </w:tblPrEx>
        <w:trPr>
          <w:trHeight w:val="276" w:hRule="atLeast"/>
          <w:jc w:val="center"/>
        </w:trPr>
        <w:tc>
          <w:tcPr>
            <w:tcW w:w="1380" w:type="dxa"/>
            <w:tcBorders>
              <w:top w:val="single" w:color="000000" w:sz="4" w:space="0"/>
              <w:left w:val="single" w:color="auto" w:sz="4" w:space="0"/>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一舍</w:t>
            </w:r>
          </w:p>
        </w:tc>
        <w:tc>
          <w:tcPr>
            <w:tcW w:w="1720" w:type="dxa"/>
            <w:tcBorders>
              <w:top w:val="single" w:color="000000" w:sz="4" w:space="0"/>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男生</w:t>
            </w:r>
          </w:p>
        </w:tc>
        <w:tc>
          <w:tcPr>
            <w:tcW w:w="1720" w:type="dxa"/>
            <w:tcBorders>
              <w:top w:val="single" w:color="000000" w:sz="4" w:space="0"/>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920</w:t>
            </w:r>
          </w:p>
        </w:tc>
        <w:tc>
          <w:tcPr>
            <w:tcW w:w="1720" w:type="dxa"/>
            <w:tcBorders>
              <w:top w:val="single" w:color="000000" w:sz="4" w:space="0"/>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ascii="等线" w:hAnsi="等线" w:eastAsia="等线" w:cs="宋体"/>
                <w:color w:val="000000"/>
                <w:sz w:val="22"/>
                <w:szCs w:val="22"/>
              </w:rPr>
              <w:t>13.35</w:t>
            </w:r>
          </w:p>
        </w:tc>
      </w:tr>
      <w:tr>
        <w:tblPrEx>
          <w:tblCellMar>
            <w:top w:w="0" w:type="dxa"/>
            <w:left w:w="108" w:type="dxa"/>
            <w:bottom w:w="0" w:type="dxa"/>
            <w:right w:w="108" w:type="dxa"/>
          </w:tblCellMar>
        </w:tblPrEx>
        <w:trPr>
          <w:trHeight w:val="276" w:hRule="atLeast"/>
          <w:jc w:val="center"/>
        </w:trPr>
        <w:tc>
          <w:tcPr>
            <w:tcW w:w="13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二舍</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男生</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1300</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ascii="等线" w:hAnsi="等线" w:eastAsia="等线" w:cs="宋体"/>
                <w:color w:val="000000"/>
                <w:sz w:val="22"/>
                <w:szCs w:val="22"/>
              </w:rPr>
              <w:t>13</w:t>
            </w:r>
            <w:r>
              <w:rPr>
                <w:rFonts w:hint="eastAsia" w:ascii="等线" w:hAnsi="等线" w:eastAsia="等线" w:cs="宋体"/>
                <w:color w:val="000000"/>
                <w:sz w:val="22"/>
                <w:szCs w:val="22"/>
              </w:rPr>
              <w:t>.</w:t>
            </w:r>
            <w:r>
              <w:rPr>
                <w:rFonts w:ascii="等线" w:hAnsi="等线" w:eastAsia="等线" w:cs="宋体"/>
                <w:color w:val="000000"/>
                <w:sz w:val="22"/>
                <w:szCs w:val="22"/>
              </w:rPr>
              <w:t>35</w:t>
            </w:r>
          </w:p>
        </w:tc>
      </w:tr>
      <w:tr>
        <w:tblPrEx>
          <w:tblCellMar>
            <w:top w:w="0" w:type="dxa"/>
            <w:left w:w="108" w:type="dxa"/>
            <w:bottom w:w="0" w:type="dxa"/>
            <w:right w:w="108" w:type="dxa"/>
          </w:tblCellMar>
        </w:tblPrEx>
        <w:trPr>
          <w:trHeight w:val="276" w:hRule="atLeast"/>
          <w:jc w:val="center"/>
        </w:trPr>
        <w:tc>
          <w:tcPr>
            <w:tcW w:w="13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三舍</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男生</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930</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ascii="等线" w:hAnsi="等线" w:eastAsia="等线" w:cs="宋体"/>
                <w:color w:val="000000"/>
                <w:sz w:val="22"/>
                <w:szCs w:val="22"/>
              </w:rPr>
              <w:t>13</w:t>
            </w:r>
            <w:r>
              <w:rPr>
                <w:rFonts w:hint="eastAsia" w:ascii="等线" w:hAnsi="等线" w:eastAsia="等线" w:cs="宋体"/>
                <w:color w:val="000000"/>
                <w:sz w:val="22"/>
                <w:szCs w:val="22"/>
              </w:rPr>
              <w:t>.</w:t>
            </w:r>
            <w:r>
              <w:rPr>
                <w:rFonts w:ascii="等线" w:hAnsi="等线" w:eastAsia="等线" w:cs="宋体"/>
                <w:color w:val="000000"/>
                <w:sz w:val="22"/>
                <w:szCs w:val="22"/>
              </w:rPr>
              <w:t>35</w:t>
            </w:r>
          </w:p>
        </w:tc>
      </w:tr>
      <w:tr>
        <w:tblPrEx>
          <w:tblCellMar>
            <w:top w:w="0" w:type="dxa"/>
            <w:left w:w="108" w:type="dxa"/>
            <w:bottom w:w="0" w:type="dxa"/>
            <w:right w:w="108" w:type="dxa"/>
          </w:tblCellMar>
        </w:tblPrEx>
        <w:trPr>
          <w:trHeight w:val="276" w:hRule="atLeast"/>
          <w:jc w:val="center"/>
        </w:trPr>
        <w:tc>
          <w:tcPr>
            <w:tcW w:w="13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四舍/五舍</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男生</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ascii="等线" w:hAnsi="等线" w:eastAsia="等线" w:cs="宋体"/>
                <w:color w:val="000000"/>
                <w:sz w:val="22"/>
                <w:szCs w:val="22"/>
              </w:rPr>
              <w:t>1000</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ascii="等线" w:hAnsi="等线" w:eastAsia="等线" w:cs="宋体"/>
                <w:color w:val="000000"/>
                <w:sz w:val="22"/>
                <w:szCs w:val="22"/>
              </w:rPr>
              <w:t>13</w:t>
            </w:r>
            <w:r>
              <w:rPr>
                <w:rFonts w:hint="eastAsia" w:ascii="等线" w:hAnsi="等线" w:eastAsia="等线" w:cs="宋体"/>
                <w:color w:val="000000"/>
                <w:sz w:val="22"/>
                <w:szCs w:val="22"/>
              </w:rPr>
              <w:t>.</w:t>
            </w:r>
            <w:r>
              <w:rPr>
                <w:rFonts w:ascii="等线" w:hAnsi="等线" w:eastAsia="等线" w:cs="宋体"/>
                <w:color w:val="000000"/>
                <w:sz w:val="22"/>
                <w:szCs w:val="22"/>
              </w:rPr>
              <w:t>35</w:t>
            </w:r>
            <w:r>
              <w:rPr>
                <w:rFonts w:hint="eastAsia" w:ascii="等线" w:hAnsi="等线" w:eastAsia="等线" w:cs="宋体"/>
                <w:color w:val="000000"/>
                <w:sz w:val="22"/>
                <w:szCs w:val="22"/>
              </w:rPr>
              <w:t>（二楼）</w:t>
            </w:r>
          </w:p>
        </w:tc>
      </w:tr>
      <w:tr>
        <w:tblPrEx>
          <w:tblCellMar>
            <w:top w:w="0" w:type="dxa"/>
            <w:left w:w="108" w:type="dxa"/>
            <w:bottom w:w="0" w:type="dxa"/>
            <w:right w:w="108" w:type="dxa"/>
          </w:tblCellMar>
        </w:tblPrEx>
        <w:trPr>
          <w:trHeight w:val="276" w:hRule="atLeast"/>
          <w:jc w:val="center"/>
        </w:trPr>
        <w:tc>
          <w:tcPr>
            <w:tcW w:w="138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六舍</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女生</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hint="eastAsia" w:ascii="等线" w:hAnsi="等线" w:eastAsia="等线" w:cs="宋体"/>
                <w:color w:val="000000"/>
                <w:sz w:val="22"/>
                <w:szCs w:val="22"/>
              </w:rPr>
              <w:t>1128</w:t>
            </w:r>
          </w:p>
        </w:tc>
        <w:tc>
          <w:tcPr>
            <w:tcW w:w="1720" w:type="dxa"/>
            <w:tcBorders>
              <w:top w:val="nil"/>
              <w:left w:val="nil"/>
              <w:bottom w:val="single" w:color="auto" w:sz="4" w:space="0"/>
              <w:right w:val="single" w:color="auto" w:sz="4" w:space="0"/>
            </w:tcBorders>
            <w:noWrap/>
            <w:vAlign w:val="center"/>
          </w:tcPr>
          <w:p>
            <w:pPr>
              <w:widowControl/>
              <w:spacing w:line="360" w:lineRule="auto"/>
              <w:jc w:val="center"/>
              <w:rPr>
                <w:rFonts w:ascii="等线" w:hAnsi="等线" w:eastAsia="等线" w:cs="宋体"/>
                <w:color w:val="000000"/>
                <w:sz w:val="22"/>
                <w:szCs w:val="22"/>
              </w:rPr>
            </w:pPr>
            <w:r>
              <w:rPr>
                <w:rFonts w:ascii="等线" w:hAnsi="等线" w:eastAsia="等线" w:cs="宋体"/>
                <w:color w:val="000000"/>
                <w:sz w:val="22"/>
                <w:szCs w:val="22"/>
              </w:rPr>
              <w:t xml:space="preserve">  53</w:t>
            </w:r>
            <w:r>
              <w:rPr>
                <w:rFonts w:hint="eastAsia" w:ascii="等线" w:hAnsi="等线" w:eastAsia="等线" w:cs="宋体"/>
                <w:color w:val="000000"/>
                <w:sz w:val="22"/>
                <w:szCs w:val="22"/>
              </w:rPr>
              <w:t>（二楼）</w:t>
            </w:r>
          </w:p>
        </w:tc>
      </w:tr>
    </w:tbl>
    <w:p>
      <w:pPr>
        <w:spacing w:line="440" w:lineRule="exact"/>
        <w:ind w:firstLine="480" w:firstLineChars="200"/>
        <w:rPr>
          <w:rFonts w:hAnsi="宋体" w:cs="宋体"/>
          <w:color w:val="000000"/>
          <w:sz w:val="24"/>
        </w:rPr>
      </w:pPr>
      <w:bookmarkStart w:id="99" w:name="_Hlk90819961"/>
      <w:r>
        <w:rPr>
          <w:rFonts w:hint="eastAsia" w:hAnsi="宋体" w:cs="宋体"/>
          <w:color w:val="000000"/>
          <w:sz w:val="24"/>
        </w:rPr>
        <w:t>需要体现智能化、智慧化、科技感</w:t>
      </w:r>
      <w:bookmarkEnd w:id="99"/>
      <w:r>
        <w:rPr>
          <w:rFonts w:hint="eastAsia" w:hAnsi="宋体" w:cs="宋体"/>
          <w:color w:val="000000"/>
          <w:sz w:val="24"/>
        </w:rPr>
        <w:t>；为学生提供副食品、日用品、饮料、等学生日常需要商品自助售卖服务。供应商需对服务点场所进行整体装修装饰，需提供门禁、货柜、货架、监控、收银系统等设施设备，所有投入均由成交供应商承担。</w:t>
      </w:r>
    </w:p>
    <w:bookmarkEnd w:id="98"/>
    <w:p>
      <w:pPr>
        <w:spacing w:line="440" w:lineRule="exact"/>
        <w:ind w:firstLine="281" w:firstLineChars="100"/>
        <w:rPr>
          <w:rFonts w:hAnsi="宋体" w:cs="宋体"/>
          <w:b/>
          <w:bCs/>
          <w:sz w:val="24"/>
        </w:rPr>
      </w:pPr>
      <w:bookmarkStart w:id="100" w:name="_Toc515612312"/>
      <w:r>
        <w:rPr>
          <w:rFonts w:hint="eastAsia" w:hAnsi="宋体" w:cs="宋体"/>
          <w:b/>
          <w:bCs/>
          <w:sz w:val="28"/>
          <w:szCs w:val="28"/>
        </w:rPr>
        <w:t>二、</w:t>
      </w:r>
      <w:bookmarkEnd w:id="100"/>
      <w:r>
        <w:rPr>
          <w:rFonts w:hint="eastAsia" w:hAnsi="宋体" w:cs="宋体"/>
          <w:b/>
          <w:bCs/>
          <w:sz w:val="28"/>
          <w:szCs w:val="28"/>
        </w:rPr>
        <w:t>服务内容及要求</w:t>
      </w:r>
    </w:p>
    <w:p>
      <w:pPr>
        <w:spacing w:line="440" w:lineRule="exact"/>
        <w:ind w:firstLine="480"/>
        <w:rPr>
          <w:rFonts w:hAnsi="宋体"/>
          <w:bCs/>
          <w:sz w:val="24"/>
        </w:rPr>
      </w:pPr>
      <w:r>
        <w:rPr>
          <w:rFonts w:hint="eastAsia" w:hAnsi="宋体"/>
          <w:bCs/>
          <w:sz w:val="24"/>
        </w:rPr>
        <w:t>1.装修：</w:t>
      </w:r>
    </w:p>
    <w:p>
      <w:pPr>
        <w:spacing w:line="440" w:lineRule="exact"/>
        <w:ind w:firstLine="480"/>
        <w:rPr>
          <w:rFonts w:hAnsi="宋体"/>
          <w:bCs/>
          <w:sz w:val="24"/>
        </w:rPr>
      </w:pPr>
      <w:r>
        <w:rPr>
          <w:rFonts w:hint="eastAsia" w:hAnsi="宋体" w:cs="宋体"/>
          <w:b/>
          <w:sz w:val="24"/>
        </w:rPr>
        <w:t>★</w:t>
      </w:r>
      <w:r>
        <w:rPr>
          <w:rFonts w:hint="eastAsia" w:hAnsi="宋体"/>
          <w:bCs/>
          <w:sz w:val="24"/>
        </w:rPr>
        <w:t>（1）装修要求：装修改造费用由中标供应商全额承担；超市规划布局科学合理；所使用的装修材料达到国家环保要求；根据现场踏勘数据提供装修效果图、平面图、装修报价清单；装修符合消防、卫生等主管部门要求，并取得相关证照，方可经营。</w:t>
      </w:r>
    </w:p>
    <w:p>
      <w:pPr>
        <w:spacing w:line="440" w:lineRule="exact"/>
        <w:ind w:firstLine="480"/>
        <w:rPr>
          <w:rFonts w:hAnsi="宋体"/>
          <w:bCs/>
          <w:sz w:val="24"/>
        </w:rPr>
      </w:pPr>
      <w:r>
        <w:rPr>
          <w:rFonts w:hint="eastAsia" w:hAnsi="宋体"/>
          <w:bCs/>
          <w:sz w:val="24"/>
        </w:rPr>
        <w:t>（2）装修风格符合我校整体校园建设，体现</w:t>
      </w:r>
      <w:r>
        <w:rPr>
          <w:rFonts w:hint="eastAsia" w:hAnsi="宋体"/>
          <w:sz w:val="24"/>
        </w:rPr>
        <w:t>智能化、智慧化、科技感</w:t>
      </w:r>
      <w:r>
        <w:rPr>
          <w:rFonts w:hint="eastAsia" w:hAnsi="宋体"/>
          <w:bCs/>
          <w:sz w:val="24"/>
        </w:rPr>
        <w:t>、现代感元素。</w:t>
      </w:r>
    </w:p>
    <w:p>
      <w:pPr>
        <w:pStyle w:val="2"/>
        <w:spacing w:line="440" w:lineRule="exact"/>
        <w:ind w:left="0" w:leftChars="0" w:firstLine="480"/>
        <w:rPr>
          <w:rFonts w:hAnsi="宋体"/>
          <w:bCs/>
          <w:sz w:val="24"/>
        </w:rPr>
      </w:pPr>
      <w:r>
        <w:rPr>
          <w:rFonts w:hint="eastAsia" w:hAnsi="宋体"/>
          <w:bCs/>
          <w:sz w:val="24"/>
        </w:rPr>
        <w:t>（3）装修不得破坏原有建筑的结构，装修方案审批后方可施工。</w:t>
      </w:r>
    </w:p>
    <w:p>
      <w:pPr>
        <w:spacing w:line="440" w:lineRule="exact"/>
        <w:ind w:firstLine="480"/>
        <w:rPr>
          <w:rFonts w:hAnsi="宋体"/>
          <w:bCs/>
          <w:sz w:val="24"/>
        </w:rPr>
      </w:pPr>
      <w:r>
        <w:rPr>
          <w:rFonts w:hint="eastAsia" w:hAnsi="宋体"/>
          <w:bCs/>
          <w:sz w:val="24"/>
        </w:rPr>
        <w:t>2.经营范围与监管</w:t>
      </w:r>
    </w:p>
    <w:p>
      <w:pPr>
        <w:spacing w:line="440" w:lineRule="exact"/>
        <w:ind w:firstLine="480"/>
        <w:rPr>
          <w:rFonts w:hAnsi="宋体"/>
          <w:bCs/>
          <w:sz w:val="24"/>
        </w:rPr>
      </w:pPr>
      <w:r>
        <w:rPr>
          <w:rFonts w:hint="eastAsia" w:hAnsi="宋体" w:cs="宋体"/>
          <w:b/>
          <w:sz w:val="24"/>
        </w:rPr>
        <w:t>★</w:t>
      </w:r>
      <w:r>
        <w:rPr>
          <w:rFonts w:hint="eastAsia" w:hAnsi="宋体"/>
          <w:bCs/>
          <w:sz w:val="24"/>
        </w:rPr>
        <w:t>2.1允许经营范围和服务：</w:t>
      </w:r>
    </w:p>
    <w:p>
      <w:pPr>
        <w:spacing w:line="440" w:lineRule="exact"/>
        <w:ind w:firstLine="480"/>
        <w:rPr>
          <w:rFonts w:hAnsi="宋体"/>
          <w:bCs/>
          <w:sz w:val="24"/>
        </w:rPr>
      </w:pPr>
      <w:r>
        <w:rPr>
          <w:rFonts w:hint="eastAsia" w:hAnsi="宋体"/>
          <w:bCs/>
          <w:sz w:val="24"/>
        </w:rPr>
        <w:t>（1）超市正常经营范围。</w:t>
      </w:r>
    </w:p>
    <w:p>
      <w:pPr>
        <w:spacing w:line="440" w:lineRule="exact"/>
        <w:ind w:firstLine="480"/>
        <w:rPr>
          <w:rFonts w:hAnsi="宋体"/>
          <w:bCs/>
          <w:sz w:val="24"/>
        </w:rPr>
      </w:pPr>
      <w:r>
        <w:rPr>
          <w:rFonts w:hint="eastAsia" w:hAnsi="宋体"/>
          <w:bCs/>
          <w:sz w:val="24"/>
        </w:rPr>
        <w:t>（</w:t>
      </w:r>
      <w:r>
        <w:rPr>
          <w:rFonts w:hAnsi="宋体"/>
          <w:bCs/>
          <w:sz w:val="24"/>
        </w:rPr>
        <w:t>2</w:t>
      </w:r>
      <w:r>
        <w:rPr>
          <w:rFonts w:hint="eastAsia" w:hAnsi="宋体"/>
          <w:bCs/>
          <w:sz w:val="24"/>
        </w:rPr>
        <w:t>）必须满足学生日常生活的品类</w:t>
      </w:r>
    </w:p>
    <w:p>
      <w:pPr>
        <w:spacing w:line="440" w:lineRule="exact"/>
        <w:ind w:firstLine="480"/>
        <w:rPr>
          <w:rFonts w:hAnsi="宋体"/>
          <w:bCs/>
          <w:sz w:val="24"/>
        </w:rPr>
      </w:pPr>
      <w:r>
        <w:rPr>
          <w:rFonts w:hint="eastAsia" w:hAnsi="宋体"/>
          <w:bCs/>
          <w:sz w:val="24"/>
        </w:rPr>
        <w:t>（</w:t>
      </w:r>
      <w:r>
        <w:rPr>
          <w:rFonts w:hAnsi="宋体"/>
          <w:bCs/>
          <w:sz w:val="24"/>
        </w:rPr>
        <w:t>3</w:t>
      </w:r>
      <w:r>
        <w:rPr>
          <w:rFonts w:hint="eastAsia" w:hAnsi="宋体"/>
          <w:bCs/>
          <w:sz w:val="24"/>
        </w:rPr>
        <w:t>）提供学生日常生活品采购和服务便利</w:t>
      </w:r>
    </w:p>
    <w:p>
      <w:pPr>
        <w:spacing w:line="440" w:lineRule="exact"/>
        <w:ind w:firstLine="480"/>
        <w:rPr>
          <w:rFonts w:hAnsi="宋体"/>
          <w:bCs/>
          <w:sz w:val="24"/>
        </w:rPr>
      </w:pPr>
      <w:r>
        <w:rPr>
          <w:rFonts w:hint="eastAsia" w:hAnsi="宋体"/>
          <w:bCs/>
          <w:sz w:val="24"/>
        </w:rPr>
        <w:t>（</w:t>
      </w:r>
      <w:r>
        <w:rPr>
          <w:rFonts w:hAnsi="宋体"/>
          <w:bCs/>
          <w:sz w:val="24"/>
        </w:rPr>
        <w:t>4</w:t>
      </w:r>
      <w:r>
        <w:rPr>
          <w:rFonts w:hint="eastAsia" w:hAnsi="宋体"/>
          <w:bCs/>
          <w:sz w:val="24"/>
        </w:rPr>
        <w:t>）配合学校管理和优化后勤服务体系</w:t>
      </w:r>
    </w:p>
    <w:p>
      <w:pPr>
        <w:spacing w:line="440" w:lineRule="exact"/>
        <w:ind w:firstLine="480"/>
        <w:rPr>
          <w:rFonts w:hAnsi="宋体"/>
          <w:bCs/>
          <w:sz w:val="24"/>
        </w:rPr>
      </w:pPr>
      <w:r>
        <w:rPr>
          <w:rFonts w:hint="eastAsia" w:hAnsi="宋体"/>
          <w:bCs/>
          <w:sz w:val="24"/>
        </w:rPr>
        <w:t>2.2监管：</w:t>
      </w:r>
    </w:p>
    <w:p>
      <w:pPr>
        <w:spacing w:line="440" w:lineRule="exact"/>
        <w:ind w:firstLine="480"/>
        <w:rPr>
          <w:rFonts w:hAnsi="宋体"/>
          <w:bCs/>
          <w:sz w:val="24"/>
        </w:rPr>
      </w:pPr>
      <w:r>
        <w:rPr>
          <w:rFonts w:hint="eastAsia" w:hAnsi="宋体"/>
          <w:bCs/>
          <w:sz w:val="24"/>
        </w:rPr>
        <w:t>（1）中标供应商必须服从学校监管；</w:t>
      </w:r>
    </w:p>
    <w:p>
      <w:pPr>
        <w:spacing w:line="440" w:lineRule="exact"/>
        <w:ind w:firstLine="480"/>
        <w:rPr>
          <w:rFonts w:hAnsi="宋体"/>
          <w:bCs/>
          <w:sz w:val="24"/>
        </w:rPr>
      </w:pPr>
      <w:r>
        <w:rPr>
          <w:rFonts w:hint="eastAsia" w:hAnsi="宋体"/>
          <w:bCs/>
          <w:sz w:val="24"/>
        </w:rPr>
        <w:t>（2）中标供应商必须从正规渠道进货，所有货物必须证件齐全，食品类必须索证备查；</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（3）中标供应商须对学校开放收银系统销售数据，以便能及时监管掌握超市的销售情况；</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（4）中标供应商承诺所售商品价格不高于学校周边超市的平均价格；</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（5）所有物品明码标价出售；</w:t>
      </w:r>
    </w:p>
    <w:p>
      <w:pPr>
        <w:spacing w:line="440" w:lineRule="exact"/>
        <w:ind w:firstLine="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、功能、装饰与设计要求</w:t>
      </w:r>
    </w:p>
    <w:p>
      <w:pPr>
        <w:spacing w:line="440" w:lineRule="exact"/>
        <w:ind w:firstLine="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w:t>
      </w:r>
      <w:r>
        <w:rPr>
          <w:rFonts w:hAnsi="宋体" w:cs="宋体"/>
          <w:color w:val="000000" w:themeColor="text1"/>
          <w:sz w:val="24"/>
          <w14:textFill>
            <w14:solidFill>
              <w14:schemeClr w14:val="tx1"/>
            </w14:solidFill>
          </w14:textFill>
        </w:rPr>
        <w:t>1</w:t>
      </w:r>
      <w:r>
        <w:rPr>
          <w:rFonts w:hint="eastAsia" w:hAnsi="宋体" w:cs="宋体"/>
          <w:color w:val="000000" w:themeColor="text1"/>
          <w:sz w:val="24"/>
          <w14:textFill>
            <w14:solidFill>
              <w14:schemeClr w14:val="tx1"/>
            </w14:solidFill>
          </w14:textFill>
        </w:rPr>
        <w:t>各系统要安全可靠、整体需要体现智能化、智慧化、科技感，提供与房间大小及布局等相匹配的货柜、货架等，尽量最大化的利用有限空间，确保布局合理、科学、方便、实用，能充分满足同学们的生活服务需求，避免或减少排长队购物等拥堵事件发生。</w:t>
      </w:r>
    </w:p>
    <w:p>
      <w:pPr>
        <w:spacing w:line="440" w:lineRule="exact"/>
        <w:ind w:firstLine="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.2 服务点装饰与设计</w:t>
      </w:r>
    </w:p>
    <w:p>
      <w:pPr>
        <w:spacing w:line="440" w:lineRule="exact"/>
        <w:ind w:firstLine="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（1）安德校区校园空间平面参考示意图：</w:t>
      </w:r>
    </w:p>
    <w:p>
      <w:pPr>
        <w:pStyle w:val="2"/>
        <w:ind w:left="680" w:firstLine="680"/>
      </w:pPr>
      <w:r>
        <w:drawing>
          <wp:anchor distT="0" distB="0" distL="114300" distR="114300" simplePos="0" relativeHeight="251661312" behindDoc="1" locked="0" layoutInCell="1" allowOverlap="1">
            <wp:simplePos x="0" y="0"/>
            <wp:positionH relativeFrom="column">
              <wp:posOffset>1152525</wp:posOffset>
            </wp:positionH>
            <wp:positionV relativeFrom="paragraph">
              <wp:posOffset>41910</wp:posOffset>
            </wp:positionV>
            <wp:extent cx="3509010" cy="2817495"/>
            <wp:effectExtent l="0" t="0" r="0"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09010" cy="2817495"/>
                    </a:xfrm>
                    <a:prstGeom prst="rect">
                      <a:avLst/>
                    </a:prstGeom>
                    <a:noFill/>
                    <a:ln>
                      <a:noFill/>
                    </a:ln>
                  </pic:spPr>
                </pic:pic>
              </a:graphicData>
            </a:graphic>
          </wp:anchor>
        </w:drawing>
      </w:r>
    </w:p>
    <w:p>
      <w:pPr>
        <w:tabs>
          <w:tab w:val="left" w:pos="4110"/>
        </w:tabs>
        <w:spacing w:line="360" w:lineRule="auto"/>
        <w:rPr>
          <w:rFonts w:hAnsi="宋体"/>
          <w:bCs/>
          <w:sz w:val="24"/>
        </w:rPr>
      </w:pPr>
      <w:r>
        <w:rPr>
          <w:rFonts w:hAnsi="宋体"/>
          <w:bCs/>
          <w:sz w:val="24"/>
        </w:rPr>
        <w:tab/>
      </w:r>
    </w:p>
    <w:p>
      <w:pPr>
        <w:spacing w:line="360" w:lineRule="auto"/>
        <w:rPr>
          <w:rFonts w:hAnsi="宋体"/>
          <w:bCs/>
          <w:sz w:val="24"/>
        </w:rPr>
      </w:pPr>
    </w:p>
    <w:p>
      <w:pPr>
        <w:pStyle w:val="2"/>
        <w:ind w:left="680" w:firstLine="680"/>
      </w:pPr>
    </w:p>
    <w:p/>
    <w:p/>
    <w:p>
      <w:pPr>
        <w:pStyle w:val="2"/>
        <w:ind w:left="680" w:firstLine="680"/>
      </w:pPr>
    </w:p>
    <w:p/>
    <w:p>
      <w:pPr>
        <w:pStyle w:val="2"/>
        <w:ind w:left="680" w:firstLine="680"/>
      </w:pPr>
    </w:p>
    <w:p/>
    <w:p>
      <w:pPr>
        <w:pStyle w:val="2"/>
        <w:ind w:left="680" w:firstLine="680"/>
      </w:pPr>
    </w:p>
    <w:p>
      <w:pPr>
        <w:pStyle w:val="2"/>
        <w:ind w:left="680" w:firstLine="680"/>
      </w:pPr>
    </w:p>
    <w:p>
      <w:pPr>
        <w:pStyle w:val="2"/>
        <w:ind w:left="680" w:firstLine="680"/>
      </w:pPr>
      <w:r>
        <w:drawing>
          <wp:anchor distT="0" distB="0" distL="114300" distR="114300" simplePos="0" relativeHeight="251662336" behindDoc="1" locked="0" layoutInCell="1" allowOverlap="1">
            <wp:simplePos x="0" y="0"/>
            <wp:positionH relativeFrom="column">
              <wp:posOffset>1295400</wp:posOffset>
            </wp:positionH>
            <wp:positionV relativeFrom="paragraph">
              <wp:posOffset>-128905</wp:posOffset>
            </wp:positionV>
            <wp:extent cx="3550920" cy="2376805"/>
            <wp:effectExtent l="0" t="0" r="0" b="444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0920" cy="2376805"/>
                    </a:xfrm>
                    <a:prstGeom prst="rect">
                      <a:avLst/>
                    </a:prstGeom>
                    <a:noFill/>
                    <a:ln>
                      <a:noFill/>
                    </a:ln>
                  </pic:spPr>
                </pic:pic>
              </a:graphicData>
            </a:graphic>
          </wp:anchor>
        </w:drawing>
      </w:r>
    </w:p>
    <w:p>
      <w:pPr>
        <w:pStyle w:val="2"/>
        <w:ind w:left="680" w:firstLine="680"/>
      </w:pPr>
    </w:p>
    <w:p>
      <w:pPr>
        <w:pStyle w:val="2"/>
        <w:ind w:left="680" w:firstLine="680"/>
      </w:pPr>
    </w:p>
    <w:p>
      <w:pPr>
        <w:pStyle w:val="2"/>
        <w:ind w:left="680" w:firstLine="680"/>
      </w:pPr>
    </w:p>
    <w:p/>
    <w:p>
      <w:pPr>
        <w:pStyle w:val="2"/>
        <w:ind w:left="680" w:firstLine="680"/>
      </w:pPr>
    </w:p>
    <w:p/>
    <w:p>
      <w:pPr>
        <w:pStyle w:val="2"/>
        <w:ind w:left="680" w:firstLine="680"/>
      </w:pPr>
    </w:p>
    <w:p>
      <w:pPr>
        <w:pStyle w:val="2"/>
        <w:ind w:left="680" w:firstLine="680"/>
      </w:pPr>
    </w:p>
    <w:p/>
    <w:p>
      <w:pPr>
        <w:pStyle w:val="2"/>
        <w:ind w:left="680" w:firstLine="680"/>
      </w:pPr>
      <w:r>
        <w:drawing>
          <wp:anchor distT="0" distB="0" distL="114300" distR="114300" simplePos="0" relativeHeight="251663360" behindDoc="1" locked="0" layoutInCell="1" allowOverlap="1">
            <wp:simplePos x="0" y="0"/>
            <wp:positionH relativeFrom="column">
              <wp:posOffset>1181100</wp:posOffset>
            </wp:positionH>
            <wp:positionV relativeFrom="paragraph">
              <wp:posOffset>57150</wp:posOffset>
            </wp:positionV>
            <wp:extent cx="4048125" cy="3105150"/>
            <wp:effectExtent l="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48125" cy="3105150"/>
                    </a:xfrm>
                    <a:prstGeom prst="rect">
                      <a:avLst/>
                    </a:prstGeom>
                    <a:noFill/>
                    <a:ln>
                      <a:noFill/>
                    </a:ln>
                  </pic:spPr>
                </pic:pic>
              </a:graphicData>
            </a:graphic>
          </wp:anchor>
        </w:drawing>
      </w:r>
    </w:p>
    <w:p/>
    <w:p/>
    <w:p>
      <w:pPr>
        <w:pStyle w:val="2"/>
        <w:ind w:left="680" w:firstLine="680"/>
      </w:pPr>
    </w:p>
    <w:p/>
    <w:p>
      <w:pPr>
        <w:pStyle w:val="2"/>
        <w:ind w:left="680" w:firstLine="680"/>
      </w:pPr>
    </w:p>
    <w:p/>
    <w:p>
      <w:pPr>
        <w:pStyle w:val="2"/>
        <w:ind w:left="680" w:firstLine="680"/>
      </w:pPr>
    </w:p>
    <w:p/>
    <w:p>
      <w:pPr>
        <w:pStyle w:val="2"/>
        <w:ind w:left="680" w:firstLine="680"/>
      </w:pP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以上平面图仅是一个参考示意图，供应商可根据房屋现有结构自行设计整体打造效果图。</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.3建设工期：30天（具体时间以采购方要求为准）。</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4供应商根据采购文件要求和现场勘查后对各点的了解设计装饰装修整体打造效果图以及装修费用清单（含具体施工项目名称、人工、材料等）；拟投入的门禁系统、收银系统、监控设备、报警系统、货柜、货架材质、规格型号、单位、单价等相关设备设施清单，该费用清单需真实可靠，符合市场行情。</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.5供应商自行前往采购人处（地址：四川省成都市郫都区安德街道彭温路399号）进行现场勘查。</w:t>
      </w:r>
    </w:p>
    <w:p>
      <w:pPr>
        <w:spacing w:line="440" w:lineRule="exact"/>
        <w:rPr>
          <w:rFonts w:hAnsi="宋体" w:cs="宋体"/>
          <w:sz w:val="24"/>
        </w:rPr>
      </w:pPr>
      <w:r>
        <w:rPr>
          <w:rFonts w:hint="eastAsia" w:hAnsi="宋体" w:cs="宋体"/>
          <w:b/>
          <w:bCs/>
          <w:sz w:val="28"/>
          <w:szCs w:val="28"/>
        </w:rPr>
        <w:t>三、商务要求</w:t>
      </w:r>
    </w:p>
    <w:p>
      <w:pPr>
        <w:spacing w:line="440" w:lineRule="exact"/>
        <w:rPr>
          <w:rFonts w:hAnsi="宋体" w:cs="宋体"/>
          <w:b/>
          <w:sz w:val="24"/>
        </w:rPr>
      </w:pPr>
      <w:r>
        <w:rPr>
          <w:rFonts w:hint="eastAsia" w:hAnsi="宋体" w:cs="宋体"/>
          <w:b/>
          <w:sz w:val="24"/>
        </w:rPr>
        <w:t>（一）履约地点</w:t>
      </w:r>
    </w:p>
    <w:p>
      <w:pPr>
        <w:spacing w:line="440" w:lineRule="exact"/>
        <w:ind w:firstLine="240" w:firstLineChars="100"/>
        <w:rPr>
          <w:rFonts w:hAnsi="宋体" w:cs="宋体"/>
          <w:sz w:val="24"/>
        </w:rPr>
      </w:pPr>
      <w:r>
        <w:rPr>
          <w:rFonts w:hint="eastAsia" w:hAnsi="宋体" w:cs="宋体"/>
          <w:sz w:val="24"/>
        </w:rPr>
        <w:t>1</w:t>
      </w:r>
      <w:r>
        <w:rPr>
          <w:rFonts w:hAnsi="宋体" w:cs="宋体"/>
          <w:sz w:val="24"/>
        </w:rPr>
        <w:t>.</w:t>
      </w:r>
      <w:r>
        <w:rPr>
          <w:rFonts w:hint="eastAsia" w:hAnsi="宋体" w:cs="宋体"/>
          <w:sz w:val="24"/>
        </w:rPr>
        <w:t>项目地址</w:t>
      </w:r>
    </w:p>
    <w:p>
      <w:pPr>
        <w:spacing w:line="440" w:lineRule="exact"/>
        <w:ind w:firstLine="340" w:firstLineChars="100"/>
        <w:rPr>
          <w:rFonts w:hAnsi="宋体" w:cs="宋体"/>
          <w:sz w:val="24"/>
        </w:rPr>
      </w:pPr>
      <w:r>
        <w:rPr>
          <w:rFonts w:hint="eastAsia"/>
        </w:rPr>
        <w:t xml:space="preserve"> </w:t>
      </w:r>
      <w:r>
        <w:rPr>
          <w:rFonts w:hint="eastAsia" w:hAnsi="宋体" w:cs="宋体"/>
          <w:sz w:val="24"/>
        </w:rPr>
        <w:t>四川省成都市郫都区安德街道彭温路399号四川铁道职业学院。</w:t>
      </w:r>
    </w:p>
    <w:p>
      <w:pPr>
        <w:spacing w:line="440" w:lineRule="exact"/>
        <w:rPr>
          <w:rFonts w:hAnsi="宋体" w:cs="宋体"/>
          <w:b/>
          <w:sz w:val="24"/>
        </w:rPr>
      </w:pPr>
      <w:r>
        <w:rPr>
          <w:rFonts w:hint="eastAsia" w:hAnsi="宋体" w:cs="宋体"/>
          <w:b/>
          <w:sz w:val="24"/>
        </w:rPr>
        <w:t>（二）履行合同的时间及方式</w:t>
      </w:r>
    </w:p>
    <w:p>
      <w:pPr>
        <w:spacing w:line="440" w:lineRule="exact"/>
        <w:rPr>
          <w:rFonts w:hAnsi="宋体" w:cs="宋体"/>
          <w:sz w:val="24"/>
        </w:rPr>
      </w:pPr>
      <w:r>
        <w:tab/>
      </w:r>
      <w:r>
        <w:rPr>
          <w:rFonts w:hint="eastAsia" w:hAnsi="宋体" w:cs="宋体"/>
          <w:sz w:val="24"/>
        </w:rPr>
        <w:t>★1</w:t>
      </w:r>
      <w:r>
        <w:rPr>
          <w:rFonts w:hAnsi="宋体" w:cs="宋体"/>
          <w:sz w:val="24"/>
        </w:rPr>
        <w:t>.</w:t>
      </w:r>
      <w:r>
        <w:rPr>
          <w:rFonts w:hint="eastAsia" w:hAnsi="宋体" w:cs="宋体"/>
          <w:sz w:val="24"/>
        </w:rPr>
        <w:t>合同的时间</w:t>
      </w:r>
    </w:p>
    <w:p>
      <w:pPr>
        <w:adjustRightInd w:val="0"/>
        <w:snapToGrid w:val="0"/>
        <w:spacing w:line="360" w:lineRule="auto"/>
        <w:ind w:firstLine="482"/>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合作期限：3</w:t>
      </w: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年（招3年可续签2年），合同期限为中标供应商装修完工经采购人验收合格，确定可正式运营后，以正式运营之日起算（最迟不得晚于</w:t>
      </w:r>
      <w:r>
        <w:rPr>
          <w:rFonts w:hAnsi="宋体" w:cs="宋体"/>
          <w:color w:val="000000" w:themeColor="text1"/>
          <w:sz w:val="24"/>
          <w14:textFill>
            <w14:solidFill>
              <w14:schemeClr w14:val="tx1"/>
            </w14:solidFill>
          </w14:textFill>
        </w:rPr>
        <w:t>2022</w:t>
      </w:r>
      <w:r>
        <w:rPr>
          <w:rFonts w:hint="eastAsia" w:hAnsi="宋体" w:cs="宋体"/>
          <w:color w:val="000000" w:themeColor="text1"/>
          <w:sz w:val="24"/>
          <w14:textFill>
            <w14:solidFill>
              <w14:schemeClr w14:val="tx1"/>
            </w14:solidFill>
          </w14:textFill>
        </w:rPr>
        <w:t>年</w:t>
      </w:r>
      <w:r>
        <w:rPr>
          <w:rFonts w:hAnsi="宋体" w:cs="宋体"/>
          <w:color w:val="000000" w:themeColor="text1"/>
          <w:sz w:val="24"/>
          <w14:textFill>
            <w14:solidFill>
              <w14:schemeClr w14:val="tx1"/>
            </w14:solidFill>
          </w14:textFill>
        </w:rPr>
        <w:t>9</w:t>
      </w:r>
      <w:r>
        <w:rPr>
          <w:rFonts w:hint="eastAsia" w:hAnsi="宋体" w:cs="宋体"/>
          <w:color w:val="000000" w:themeColor="text1"/>
          <w:sz w:val="24"/>
          <w14:textFill>
            <w14:solidFill>
              <w14:schemeClr w14:val="tx1"/>
            </w14:solidFill>
          </w14:textFill>
        </w:rPr>
        <w:t>月</w:t>
      </w:r>
      <w:r>
        <w:rPr>
          <w:rFonts w:hAnsi="宋体" w:cs="宋体"/>
          <w:color w:val="000000" w:themeColor="text1"/>
          <w:sz w:val="24"/>
          <w14:textFill>
            <w14:solidFill>
              <w14:schemeClr w14:val="tx1"/>
            </w14:solidFill>
          </w14:textFill>
        </w:rPr>
        <w:t>1</w:t>
      </w:r>
      <w:r>
        <w:rPr>
          <w:rFonts w:hint="eastAsia" w:hAnsi="宋体" w:cs="宋体"/>
          <w:color w:val="000000" w:themeColor="text1"/>
          <w:sz w:val="24"/>
          <w14:textFill>
            <w14:solidFill>
              <w14:schemeClr w14:val="tx1"/>
            </w14:solidFill>
          </w14:textFill>
        </w:rPr>
        <w:t>起执行开学前）。如遇学校或国家政策调整，以相关政策文件为准。合作期限分为两个阶段，第一阶段为合同约定生效日期3年，技术服务费按照投标比例不变；续签第四年在投标比例上浮0</w:t>
      </w:r>
      <w:r>
        <w:rPr>
          <w:rFonts w:hAnsi="宋体" w:cs="宋体"/>
          <w:color w:val="000000" w:themeColor="text1"/>
          <w:sz w:val="24"/>
          <w14:textFill>
            <w14:solidFill>
              <w14:schemeClr w14:val="tx1"/>
            </w14:solidFill>
          </w14:textFill>
        </w:rPr>
        <w:t>.5%</w:t>
      </w:r>
      <w:r>
        <w:rPr>
          <w:rFonts w:hint="eastAsia" w:hAnsi="宋体" w:cs="宋体"/>
          <w:color w:val="000000" w:themeColor="text1"/>
          <w:sz w:val="24"/>
          <w14:textFill>
            <w14:solidFill>
              <w14:schemeClr w14:val="tx1"/>
            </w14:solidFill>
          </w14:textFill>
        </w:rPr>
        <w:t>；第五年在投标比例上浮</w:t>
      </w:r>
      <w:r>
        <w:rPr>
          <w:rFonts w:hAnsi="宋体" w:cs="宋体"/>
          <w:color w:val="000000" w:themeColor="text1"/>
          <w:sz w:val="24"/>
          <w14:textFill>
            <w14:solidFill>
              <w14:schemeClr w14:val="tx1"/>
            </w14:solidFill>
          </w14:textFill>
        </w:rPr>
        <w:t>1%</w:t>
      </w:r>
      <w:r>
        <w:rPr>
          <w:rFonts w:hint="eastAsia" w:hAnsi="宋体" w:cs="宋体"/>
          <w:color w:val="000000" w:themeColor="text1"/>
          <w:sz w:val="24"/>
          <w14:textFill>
            <w14:solidFill>
              <w14:schemeClr w14:val="tx1"/>
            </w14:solidFill>
          </w14:textFill>
        </w:rPr>
        <w:t>（注：如果中标比例为</w:t>
      </w:r>
      <w:r>
        <w:rPr>
          <w:rFonts w:hAnsi="宋体" w:cs="宋体"/>
          <w:color w:val="000000" w:themeColor="text1"/>
          <w:sz w:val="24"/>
          <w14:textFill>
            <w14:solidFill>
              <w14:schemeClr w14:val="tx1"/>
            </w14:solidFill>
          </w14:textFill>
        </w:rPr>
        <w:t>8%</w:t>
      </w:r>
      <w:r>
        <w:rPr>
          <w:rFonts w:hint="eastAsia" w:hAnsi="宋体" w:cs="宋体"/>
          <w:color w:val="000000" w:themeColor="text1"/>
          <w:sz w:val="24"/>
          <w14:textFill>
            <w14:solidFill>
              <w14:schemeClr w14:val="tx1"/>
            </w14:solidFill>
          </w14:textFill>
        </w:rPr>
        <w:t>，第一、二、三年均为</w:t>
      </w:r>
      <w:r>
        <w:rPr>
          <w:rFonts w:hAnsi="宋体" w:cs="宋体"/>
          <w:color w:val="000000" w:themeColor="text1"/>
          <w:sz w:val="24"/>
          <w14:textFill>
            <w14:solidFill>
              <w14:schemeClr w14:val="tx1"/>
            </w14:solidFill>
          </w14:textFill>
        </w:rPr>
        <w:t>8%</w:t>
      </w:r>
      <w:r>
        <w:rPr>
          <w:rFonts w:hint="eastAsia" w:hAnsi="宋体" w:cs="宋体"/>
          <w:color w:val="000000" w:themeColor="text1"/>
          <w:sz w:val="24"/>
          <w14:textFill>
            <w14:solidFill>
              <w14:schemeClr w14:val="tx1"/>
            </w14:solidFill>
          </w14:textFill>
        </w:rPr>
        <w:t>，第四年为</w:t>
      </w:r>
      <w:r>
        <w:rPr>
          <w:rFonts w:hAnsi="宋体" w:cs="宋体"/>
          <w:color w:val="000000" w:themeColor="text1"/>
          <w:sz w:val="24"/>
          <w14:textFill>
            <w14:solidFill>
              <w14:schemeClr w14:val="tx1"/>
            </w14:solidFill>
          </w14:textFill>
        </w:rPr>
        <w:t>8.5%</w:t>
      </w:r>
      <w:r>
        <w:rPr>
          <w:rFonts w:hint="eastAsia" w:hAnsi="宋体" w:cs="宋体"/>
          <w:color w:val="000000" w:themeColor="text1"/>
          <w:sz w:val="24"/>
          <w14:textFill>
            <w14:solidFill>
              <w14:schemeClr w14:val="tx1"/>
            </w14:solidFill>
          </w14:textFill>
        </w:rPr>
        <w:t>，第五年为</w:t>
      </w:r>
      <w:r>
        <w:rPr>
          <w:rFonts w:hAnsi="宋体" w:cs="宋体"/>
          <w:color w:val="000000" w:themeColor="text1"/>
          <w:sz w:val="24"/>
          <w14:textFill>
            <w14:solidFill>
              <w14:schemeClr w14:val="tx1"/>
            </w14:solidFill>
          </w14:textFill>
        </w:rPr>
        <w:t>9%</w:t>
      </w:r>
      <w:r>
        <w:rPr>
          <w:rFonts w:hint="eastAsia" w:hAnsi="宋体" w:cs="宋体"/>
          <w:color w:val="000000" w:themeColor="text1"/>
          <w:sz w:val="24"/>
          <w14:textFill>
            <w14:solidFill>
              <w14:schemeClr w14:val="tx1"/>
            </w14:solidFill>
          </w14:textFill>
        </w:rPr>
        <w:t>）</w:t>
      </w:r>
    </w:p>
    <w:p>
      <w:pPr>
        <w:spacing w:line="440" w:lineRule="exact"/>
        <w:ind w:firstLine="424" w:firstLineChars="177"/>
        <w:rPr>
          <w:rFonts w:hAnsi="宋体" w:cs="宋体"/>
          <w:sz w:val="24"/>
        </w:rPr>
      </w:pPr>
      <w:r>
        <w:rPr>
          <w:rFonts w:hint="eastAsia" w:hAnsi="宋体" w:cs="宋体"/>
          <w:sz w:val="24"/>
        </w:rPr>
        <w:t>★2</w:t>
      </w:r>
      <w:r>
        <w:rPr>
          <w:rFonts w:hAnsi="宋体" w:cs="宋体"/>
          <w:sz w:val="24"/>
        </w:rPr>
        <w:t>.</w:t>
      </w:r>
      <w:r>
        <w:rPr>
          <w:rFonts w:hint="eastAsia" w:hAnsi="宋体" w:cs="宋体"/>
          <w:sz w:val="24"/>
        </w:rPr>
        <w:t>履约保证金要求</w:t>
      </w:r>
    </w:p>
    <w:p>
      <w:pPr>
        <w:spacing w:line="440" w:lineRule="exact"/>
        <w:ind w:firstLine="566" w:firstLineChars="236"/>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1履约保证金为</w:t>
      </w:r>
      <w:r>
        <w:rPr>
          <w:rFonts w:hAnsi="宋体" w:cs="宋体"/>
          <w:color w:val="000000" w:themeColor="text1"/>
          <w:sz w:val="24"/>
          <w14:textFill>
            <w14:solidFill>
              <w14:schemeClr w14:val="tx1"/>
            </w14:solidFill>
          </w14:textFill>
        </w:rPr>
        <w:t>20000</w:t>
      </w:r>
      <w:r>
        <w:rPr>
          <w:rFonts w:hint="eastAsia" w:hAnsi="宋体" w:cs="宋体"/>
          <w:color w:val="000000" w:themeColor="text1"/>
          <w:sz w:val="24"/>
          <w14:textFill>
            <w14:solidFill>
              <w14:schemeClr w14:val="tx1"/>
            </w14:solidFill>
          </w14:textFill>
        </w:rPr>
        <w:t>元，供应商应在成交通知书发出之日起合同签订前以银行转账形式向采购人提交履约保证金，在收到采购人财务部门出具的履约保证金收据后，凭此凭证以及成交通知书与采购人指定的需求部门签定合同。</w:t>
      </w:r>
    </w:p>
    <w:p>
      <w:pPr>
        <w:spacing w:line="440" w:lineRule="exact"/>
        <w:ind w:firstLine="566" w:firstLineChars="236"/>
        <w:rPr>
          <w:rFonts w:hAnsi="宋体" w:cs="宋体"/>
          <w:sz w:val="24"/>
        </w:rPr>
      </w:pPr>
      <w:r>
        <w:rPr>
          <w:rFonts w:hint="eastAsia" w:hAnsi="宋体" w:cs="宋体"/>
          <w:sz w:val="24"/>
        </w:rPr>
        <w:t>2.</w:t>
      </w:r>
      <w:r>
        <w:rPr>
          <w:rFonts w:hAnsi="宋体" w:cs="宋体"/>
          <w:sz w:val="24"/>
        </w:rPr>
        <w:t>2</w:t>
      </w:r>
      <w:r>
        <w:rPr>
          <w:rFonts w:hint="eastAsia" w:hAnsi="宋体" w:cs="宋体"/>
          <w:sz w:val="24"/>
        </w:rPr>
        <w:t>履行合同约定完毕后,无质量问题和违约责任情况，供应商凭“出具收到退还履约保证金的收据”、“履约保证金退还申请”到采购人财务部门办理，无息退还。采购人收到供应商提交的履约保证金退还申请等资料后，30个日历天内退还供应商履约保证金。因采购人原因逾期退还的，还应向供应商支付未退还金额万分之五/天的违约金。</w:t>
      </w:r>
    </w:p>
    <w:p>
      <w:pPr>
        <w:spacing w:line="440" w:lineRule="exact"/>
        <w:ind w:firstLine="566" w:firstLineChars="236"/>
        <w:rPr>
          <w:rFonts w:hAnsi="宋体" w:cs="宋体"/>
          <w:sz w:val="24"/>
        </w:rPr>
      </w:pPr>
      <w:r>
        <w:rPr>
          <w:rFonts w:hAnsi="宋体" w:cs="宋体"/>
          <w:sz w:val="24"/>
        </w:rPr>
        <w:t>2.</w:t>
      </w:r>
      <w:r>
        <w:rPr>
          <w:rFonts w:hint="eastAsia" w:hAnsi="宋体" w:cs="宋体"/>
          <w:sz w:val="24"/>
        </w:rPr>
        <w:t>3履约保证金汇入的银行及账号：</w:t>
      </w:r>
    </w:p>
    <w:p>
      <w:pPr>
        <w:spacing w:line="440" w:lineRule="exact"/>
        <w:ind w:firstLine="566" w:firstLineChars="236"/>
        <w:rPr>
          <w:rFonts w:hAnsi="宋体" w:cs="宋体"/>
          <w:sz w:val="24"/>
        </w:rPr>
      </w:pPr>
      <w:r>
        <w:rPr>
          <w:rFonts w:hint="eastAsia" w:hAnsi="宋体" w:cs="宋体"/>
          <w:sz w:val="24"/>
        </w:rPr>
        <w:t xml:space="preserve">收款账号： </w:t>
      </w:r>
    </w:p>
    <w:p>
      <w:pPr>
        <w:pStyle w:val="60"/>
        <w:spacing w:line="400" w:lineRule="exact"/>
        <w:ind w:firstLine="566" w:firstLineChars="236"/>
        <w:jc w:val="both"/>
      </w:pPr>
      <w:r>
        <w:rPr>
          <w:rFonts w:hint="eastAsia"/>
        </w:rPr>
        <w:t xml:space="preserve">开户行： </w:t>
      </w:r>
    </w:p>
    <w:p>
      <w:pPr>
        <w:pStyle w:val="60"/>
        <w:spacing w:line="400" w:lineRule="exact"/>
        <w:ind w:firstLine="566" w:firstLineChars="236"/>
        <w:jc w:val="both"/>
      </w:pPr>
      <w:r>
        <w:rPr>
          <w:rFonts w:hint="eastAsia"/>
        </w:rPr>
        <w:t>银行</w:t>
      </w:r>
      <w:r>
        <w:t>账号：</w:t>
      </w:r>
    </w:p>
    <w:p>
      <w:pPr>
        <w:pStyle w:val="60"/>
        <w:spacing w:line="400" w:lineRule="exact"/>
        <w:ind w:firstLine="566" w:firstLineChars="236"/>
        <w:jc w:val="both"/>
      </w:pPr>
      <w:r>
        <w:rPr>
          <w:rFonts w:hint="eastAsia"/>
        </w:rPr>
        <w:t>统一社会信用代码：.</w:t>
      </w:r>
    </w:p>
    <w:p>
      <w:pPr>
        <w:spacing w:line="440" w:lineRule="exact"/>
        <w:ind w:firstLine="566" w:firstLineChars="236"/>
        <w:rPr>
          <w:rFonts w:hAnsi="宋体" w:cs="宋体"/>
          <w:sz w:val="24"/>
        </w:rPr>
      </w:pPr>
      <w:r>
        <w:rPr>
          <w:rFonts w:hAnsi="宋体" w:cs="宋体"/>
          <w:sz w:val="24"/>
        </w:rPr>
        <w:t>2.</w:t>
      </w:r>
      <w:r>
        <w:rPr>
          <w:rFonts w:hint="eastAsia" w:hAnsi="宋体" w:cs="宋体"/>
          <w:sz w:val="24"/>
        </w:rPr>
        <w:t>4</w:t>
      </w:r>
      <w:r>
        <w:rPr>
          <w:rFonts w:hAnsi="宋体" w:cs="宋体"/>
          <w:sz w:val="24"/>
        </w:rPr>
        <w:t xml:space="preserve"> </w:t>
      </w:r>
      <w:r>
        <w:rPr>
          <w:rFonts w:hint="eastAsia" w:hAnsi="宋体" w:cs="宋体"/>
          <w:sz w:val="24"/>
        </w:rPr>
        <w:t>履约保证金不予退还情形:</w:t>
      </w:r>
    </w:p>
    <w:p>
      <w:pPr>
        <w:spacing w:line="440" w:lineRule="exact"/>
        <w:ind w:firstLine="566" w:firstLineChars="236"/>
        <w:rPr>
          <w:rFonts w:hAnsi="宋体" w:cs="宋体"/>
          <w:sz w:val="24"/>
        </w:rPr>
      </w:pPr>
      <w:r>
        <w:rPr>
          <w:rFonts w:hint="eastAsia" w:hAnsi="宋体" w:cs="宋体"/>
          <w:sz w:val="24"/>
        </w:rPr>
        <w:t>一是供应商未按合同要求履行的，其履约保证金全部扣除。</w:t>
      </w:r>
    </w:p>
    <w:p>
      <w:pPr>
        <w:spacing w:line="440" w:lineRule="exact"/>
        <w:ind w:firstLine="566" w:firstLineChars="236"/>
        <w:rPr>
          <w:rFonts w:hAnsi="宋体" w:cs="宋体"/>
          <w:sz w:val="24"/>
        </w:rPr>
      </w:pPr>
      <w:r>
        <w:rPr>
          <w:rFonts w:hint="eastAsia" w:hAnsi="宋体" w:cs="宋体"/>
          <w:sz w:val="24"/>
        </w:rPr>
        <w:t>二是供应商缴纳了履约保证金，但因自身原因被取消成交资格或在成交公示期满之日起30日历天（含法定节假日）内供应商不按采购文件确定的事项与采购人签订合同的，其履约保证金不予退还。</w:t>
      </w:r>
    </w:p>
    <w:p>
      <w:pPr>
        <w:spacing w:line="440" w:lineRule="exact"/>
        <w:ind w:firstLine="426" w:firstLineChars="177"/>
        <w:rPr>
          <w:rFonts w:hAnsi="宋体" w:cs="宋体"/>
          <w:b/>
          <w:sz w:val="24"/>
        </w:rPr>
      </w:pPr>
      <w:r>
        <w:rPr>
          <w:rFonts w:hint="eastAsia" w:hAnsi="宋体" w:cs="宋体"/>
          <w:b/>
          <w:sz w:val="24"/>
        </w:rPr>
        <w:t>★（三）合作模式</w:t>
      </w:r>
    </w:p>
    <w:p>
      <w:pPr>
        <w:spacing w:line="440" w:lineRule="exact"/>
        <w:ind w:firstLine="424" w:firstLineChars="177"/>
        <w:rPr>
          <w:rFonts w:hAnsi="宋体" w:cs="宋体"/>
          <w:sz w:val="24"/>
        </w:rPr>
      </w:pPr>
      <w:r>
        <w:rPr>
          <w:rFonts w:hint="eastAsia" w:hAnsi="宋体" w:cs="宋体"/>
          <w:sz w:val="24"/>
        </w:rPr>
        <w:t>1. 供应商中标后向采购方年度缴纳技术服务费用；</w:t>
      </w:r>
    </w:p>
    <w:p>
      <w:pPr>
        <w:spacing w:line="440" w:lineRule="exact"/>
        <w:ind w:firstLine="480" w:firstLineChars="200"/>
        <w:rPr>
          <w:rFonts w:hAnsi="宋体" w:cs="宋体"/>
          <w:sz w:val="24"/>
        </w:rPr>
      </w:pPr>
      <w:r>
        <w:rPr>
          <w:rFonts w:hint="eastAsia" w:hAnsi="宋体" w:cs="宋体"/>
          <w:sz w:val="24"/>
        </w:rPr>
        <w:t>1</w:t>
      </w:r>
      <w:r>
        <w:rPr>
          <w:rFonts w:hAnsi="宋体" w:cs="宋体"/>
          <w:sz w:val="24"/>
        </w:rPr>
        <w:t>.1</w:t>
      </w:r>
      <w:r>
        <w:rPr>
          <w:rFonts w:hint="eastAsia" w:hAnsi="宋体" w:cs="宋体"/>
          <w:sz w:val="24"/>
        </w:rPr>
        <w:t>技术服务费提取投标报价比例：技术服务费提取投标报价比例不低于</w:t>
      </w:r>
      <w:r>
        <w:rPr>
          <w:rFonts w:hAnsi="宋体" w:cs="宋体"/>
          <w:sz w:val="24"/>
        </w:rPr>
        <w:t>8</w:t>
      </w:r>
      <w:r>
        <w:rPr>
          <w:rFonts w:hint="eastAsia" w:hAnsi="宋体" w:cs="宋体"/>
          <w:sz w:val="24"/>
        </w:rPr>
        <w:t>%，低于</w:t>
      </w:r>
      <w:r>
        <w:rPr>
          <w:rFonts w:hAnsi="宋体" w:cs="宋体"/>
          <w:sz w:val="24"/>
        </w:rPr>
        <w:t>8</w:t>
      </w:r>
      <w:r>
        <w:rPr>
          <w:rFonts w:hint="eastAsia" w:hAnsi="宋体" w:cs="宋体"/>
          <w:sz w:val="24"/>
        </w:rPr>
        <w:t>%的视为无效投标。</w:t>
      </w:r>
    </w:p>
    <w:p>
      <w:pPr>
        <w:spacing w:line="440" w:lineRule="exact"/>
        <w:ind w:firstLine="480" w:firstLineChars="200"/>
        <w:rPr>
          <w:rFonts w:hAnsi="宋体" w:cs="宋体"/>
          <w:sz w:val="24"/>
        </w:rPr>
      </w:pPr>
      <w:r>
        <w:rPr>
          <w:rFonts w:hint="eastAsia" w:hAnsi="宋体" w:cs="宋体"/>
          <w:sz w:val="24"/>
        </w:rPr>
        <w:t>1</w:t>
      </w:r>
      <w:r>
        <w:rPr>
          <w:rFonts w:hAnsi="宋体" w:cs="宋体"/>
          <w:sz w:val="24"/>
        </w:rPr>
        <w:t>.2</w:t>
      </w:r>
      <w:r>
        <w:rPr>
          <w:rFonts w:hint="eastAsia" w:hAnsi="宋体" w:cs="宋体"/>
          <w:sz w:val="24"/>
        </w:rPr>
        <w:t>技术服务费一年一交。由采购人按中标供应商一年（在不可抗拒因素下，按实际营业时间计算）实际产生的总营业额数，按中标比例计算技术服务费，如超期未交技术服务费按照日千分之五收取滞纳金，超期3</w:t>
      </w:r>
      <w:r>
        <w:rPr>
          <w:rFonts w:hAnsi="宋体" w:cs="宋体"/>
          <w:sz w:val="24"/>
        </w:rPr>
        <w:t>0</w:t>
      </w:r>
      <w:r>
        <w:rPr>
          <w:rFonts w:hint="eastAsia" w:hAnsi="宋体" w:cs="宋体"/>
          <w:sz w:val="24"/>
        </w:rPr>
        <w:t>个工作日采购人有权终止合同并追究中标供应商相应违约责任。</w:t>
      </w:r>
    </w:p>
    <w:p>
      <w:pPr>
        <w:pStyle w:val="2"/>
        <w:ind w:left="680" w:firstLine="720" w:firstLineChars="300"/>
        <w:rPr>
          <w:rFonts w:hAnsi="宋体" w:cs="宋体"/>
          <w:sz w:val="24"/>
        </w:rPr>
      </w:pPr>
      <w:r>
        <w:rPr>
          <w:rFonts w:hint="eastAsia" w:hAnsi="宋体" w:cs="宋体"/>
          <w:sz w:val="24"/>
        </w:rPr>
        <w:t>例：中标方投标管理费投标比例为8%，年度营业额为120万元</w:t>
      </w:r>
    </w:p>
    <w:p>
      <w:pPr>
        <w:pStyle w:val="2"/>
        <w:ind w:left="680" w:firstLine="720" w:firstLineChars="300"/>
      </w:pPr>
      <w:r>
        <w:rPr>
          <w:rFonts w:hint="eastAsia" w:hAnsi="宋体" w:cs="宋体"/>
          <w:sz w:val="24"/>
        </w:rPr>
        <w:t>按照中标比例计算技术服务费总额为:120万元</w:t>
      </w:r>
      <w:r>
        <w:rPr>
          <w:rFonts w:ascii="Arial" w:hAnsi="Arial" w:cs="Arial"/>
          <w:sz w:val="24"/>
        </w:rPr>
        <w:t>×</w:t>
      </w:r>
      <w:r>
        <w:rPr>
          <w:rFonts w:hint="eastAsia" w:hAnsi="宋体" w:cs="宋体"/>
          <w:sz w:val="24"/>
        </w:rPr>
        <w:t>8%=9.6万元</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中标供应商应每月定期发送相应财务营业额报表并加盖财务公章给采购人且保证数据真实准确。</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 xml:space="preserve">.4  </w:t>
      </w:r>
      <w:r>
        <w:rPr>
          <w:rFonts w:hint="eastAsia" w:hAnsi="宋体" w:cs="宋体"/>
          <w:color w:val="000000" w:themeColor="text1"/>
          <w:sz w:val="24"/>
          <w14:textFill>
            <w14:solidFill>
              <w14:schemeClr w14:val="tx1"/>
            </w14:solidFill>
          </w14:textFill>
        </w:rPr>
        <w:t>经营期间，乙方须开放权限供甲方财务部门、监管部门查看实时营业额后台管理数据，应每月定期向甲方提交打印营业额数据报表，该数据务必真实准确，不得弄虚作假，一旦造假，甲方有权单方面解除合同，乙方所交的履约保证金不予退还，所有设施设备归学校所有。</w:t>
      </w:r>
    </w:p>
    <w:p>
      <w:pPr>
        <w:spacing w:line="560" w:lineRule="exact"/>
        <w:ind w:right="240"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2.付款方式：技术服务费一年一交，乙方须按如下条款约定要求，按期向甲方支付技术服务费。</w:t>
      </w:r>
    </w:p>
    <w:p>
      <w:pPr>
        <w:spacing w:line="560" w:lineRule="exact"/>
        <w:ind w:right="240"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r>
        <w:rPr>
          <w:rFonts w:hAnsi="宋体" w:cs="宋体"/>
          <w:color w:val="000000" w:themeColor="text1"/>
          <w:sz w:val="24"/>
          <w14:textFill>
            <w14:solidFill>
              <w14:schemeClr w14:val="tx1"/>
            </w14:solidFill>
          </w14:textFill>
        </w:rPr>
        <w:t>.1</w:t>
      </w:r>
      <w:r>
        <w:rPr>
          <w:rFonts w:hint="eastAsia" w:hAnsi="宋体" w:cs="宋体"/>
          <w:color w:val="000000" w:themeColor="text1"/>
          <w:sz w:val="24"/>
          <w14:textFill>
            <w14:solidFill>
              <w14:schemeClr w14:val="tx1"/>
            </w14:solidFill>
          </w14:textFill>
        </w:rPr>
        <w:t>技术服务费：第一年运营期满后10个工作日内乙方须一次性向甲方交纳第一年期的技术服务费，同时将第一年的营业额年报表打印出来并加盖财务公章交予甲方财务部门及监管部门核实，该数据务必真实准确，不得弄虚作假。</w:t>
      </w:r>
    </w:p>
    <w:p>
      <w:pPr>
        <w:spacing w:line="560" w:lineRule="exact"/>
        <w:ind w:right="240" w:firstLine="480" w:firstLineChars="200"/>
        <w:rPr>
          <w:rFonts w:hAnsi="宋体" w:cs="宋体"/>
          <w:sz w:val="24"/>
        </w:rPr>
      </w:pPr>
      <w:r>
        <w:rPr>
          <w:rFonts w:hAnsi="宋体" w:cs="宋体"/>
          <w:sz w:val="24"/>
        </w:rPr>
        <w:t>2.2</w:t>
      </w:r>
      <w:r>
        <w:rPr>
          <w:rFonts w:hint="eastAsia" w:hAnsi="宋体" w:cs="宋体"/>
          <w:sz w:val="24"/>
        </w:rPr>
        <w:t>违约处罚：乙方需按期足额向乙方支付相应技术服务费，若未及时缴付的，则视为乙方单方面违约，甲方有权处以乙方当年技术服务费30%的经济处罚，不予退还乙方交纳的履约保证金，所有设施设备归甲方所有，不足以弥补差额技术服务费的，甲方有权向乙方追偿。乙方务必于10日内限期退场，不得破坏已装修好的结构，甲方不支付任何费用。</w:t>
      </w:r>
    </w:p>
    <w:p>
      <w:pPr>
        <w:spacing w:line="560" w:lineRule="exact"/>
        <w:ind w:right="240" w:firstLine="480" w:firstLineChars="200"/>
        <w:rPr>
          <w:rFonts w:hAnsi="宋体" w:cs="宋体"/>
          <w:sz w:val="24"/>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.采购方提供场地和部分货架，校方指定人员与供应商工作人员一起对食品安全、用电安全等进行监管，水、电、网络使用费用由供应商承担；学校不收取物业管理费。</w:t>
      </w:r>
    </w:p>
    <w:p>
      <w:pPr>
        <w:spacing w:line="440" w:lineRule="exact"/>
        <w:ind w:firstLine="424" w:firstLineChars="177"/>
        <w:rPr>
          <w:rFonts w:hAnsi="宋体" w:cs="宋体"/>
          <w:sz w:val="24"/>
        </w:rPr>
      </w:pPr>
      <w:r>
        <w:rPr>
          <w:rFonts w:hAnsi="宋体" w:cs="宋体"/>
          <w:sz w:val="24"/>
        </w:rPr>
        <w:t>4</w:t>
      </w:r>
      <w:r>
        <w:rPr>
          <w:rFonts w:hint="eastAsia" w:hAnsi="宋体" w:cs="宋体"/>
          <w:sz w:val="24"/>
        </w:rPr>
        <w:t>.中标供应商需严格遵守《食品安全法》和学校的有关规定，确保经销食品质量。</w:t>
      </w:r>
    </w:p>
    <w:p>
      <w:pPr>
        <w:spacing w:line="440" w:lineRule="exact"/>
        <w:ind w:firstLine="424" w:firstLineChars="177"/>
        <w:rPr>
          <w:rFonts w:hint="eastAsia" w:hAnsi="宋体" w:cs="宋体"/>
          <w:sz w:val="24"/>
        </w:rPr>
      </w:pPr>
      <w:r>
        <w:rPr>
          <w:rFonts w:hAnsi="宋体" w:cs="宋体"/>
          <w:sz w:val="24"/>
        </w:rPr>
        <w:t>5</w:t>
      </w:r>
      <w:r>
        <w:rPr>
          <w:rFonts w:hint="eastAsia" w:hAnsi="宋体" w:cs="宋体"/>
          <w:sz w:val="24"/>
        </w:rPr>
        <w:t>中标供应商需积极配合接受上级卫生监督部门、学校后勤管理部门对食品卫生、合作范围等方面的检查、监督。</w:t>
      </w:r>
    </w:p>
    <w:p>
      <w:pPr>
        <w:spacing w:line="440" w:lineRule="exact"/>
        <w:ind w:firstLine="424" w:firstLineChars="177"/>
        <w:rPr>
          <w:rFonts w:hAnsi="宋体" w:cs="宋体"/>
          <w:sz w:val="24"/>
        </w:rPr>
      </w:pPr>
      <w:r>
        <w:rPr>
          <w:rFonts w:hAnsi="宋体" w:cs="宋体"/>
          <w:sz w:val="24"/>
        </w:rPr>
        <w:t>6</w:t>
      </w:r>
      <w:r>
        <w:rPr>
          <w:rFonts w:hint="eastAsia" w:hAnsi="宋体" w:cs="宋体"/>
          <w:sz w:val="24"/>
        </w:rPr>
        <w:t>.合作期间的税金、工商管理、卫生、防疫、宣传等费用由中标供应商承担，并同时承担与之有关的一切法律责任。</w:t>
      </w:r>
    </w:p>
    <w:p>
      <w:pPr>
        <w:spacing w:line="440" w:lineRule="exact"/>
        <w:ind w:firstLine="424" w:firstLineChars="177"/>
        <w:rPr>
          <w:rFonts w:hint="eastAsia" w:hAnsi="宋体" w:cs="宋体"/>
          <w:sz w:val="24"/>
        </w:rPr>
      </w:pPr>
      <w:r>
        <w:rPr>
          <w:rFonts w:hAnsi="宋体" w:cs="宋体"/>
          <w:sz w:val="24"/>
        </w:rPr>
        <w:t>7</w:t>
      </w:r>
      <w:r>
        <w:rPr>
          <w:rFonts w:hint="eastAsia" w:hAnsi="宋体" w:cs="宋体"/>
          <w:sz w:val="24"/>
        </w:rPr>
        <w:t>.中标供应商不得擅自改变合作场所的房屋结构，不得私接水电。擅自改变的，中标供应商负责恢复原状，并承担由此造成的一切损失。</w:t>
      </w:r>
    </w:p>
    <w:p>
      <w:pPr>
        <w:spacing w:line="440" w:lineRule="exact"/>
        <w:ind w:firstLine="424" w:firstLineChars="177"/>
        <w:rPr>
          <w:rFonts w:hint="eastAsia" w:hAnsi="宋体" w:cs="宋体"/>
          <w:sz w:val="24"/>
        </w:rPr>
      </w:pPr>
      <w:r>
        <w:rPr>
          <w:rFonts w:hAnsi="宋体" w:cs="宋体"/>
          <w:sz w:val="24"/>
        </w:rPr>
        <w:t>8</w:t>
      </w:r>
      <w:r>
        <w:rPr>
          <w:rFonts w:hint="eastAsia" w:hAnsi="宋体" w:cs="宋体"/>
          <w:sz w:val="24"/>
        </w:rPr>
        <w:t>. 中标供应商应作好安全、卫生（门前实行三包）、防火、防盗、防水及维持秩序等工作。由此引发事故造成损失的由合作单位负完全赔偿责任。</w:t>
      </w:r>
    </w:p>
    <w:p>
      <w:pPr>
        <w:spacing w:line="440" w:lineRule="exact"/>
        <w:ind w:firstLine="424" w:firstLineChars="177"/>
        <w:rPr>
          <w:rFonts w:hAnsi="宋体" w:cs="宋体"/>
          <w:sz w:val="24"/>
        </w:rPr>
      </w:pPr>
      <w:r>
        <w:rPr>
          <w:rFonts w:hAnsi="宋体" w:cs="宋体"/>
          <w:sz w:val="24"/>
        </w:rPr>
        <w:t>9</w:t>
      </w:r>
      <w:r>
        <w:rPr>
          <w:rFonts w:hint="eastAsia" w:hAnsi="宋体" w:cs="宋体"/>
          <w:sz w:val="24"/>
        </w:rPr>
        <w:t>. 中标供应商不得对该项目进行转让、转包、转租、分包、分租，否则采购人有权单方解除合同，不承担任何责任。</w:t>
      </w:r>
    </w:p>
    <w:p>
      <w:pPr>
        <w:spacing w:line="440" w:lineRule="exact"/>
        <w:ind w:firstLine="424" w:firstLineChars="177"/>
        <w:rPr>
          <w:rFonts w:hint="eastAsia" w:hAnsi="宋体" w:cs="宋体"/>
          <w:sz w:val="24"/>
        </w:rPr>
      </w:pPr>
      <w:r>
        <w:rPr>
          <w:rFonts w:hAnsi="宋体" w:cs="宋体"/>
          <w:sz w:val="24"/>
        </w:rPr>
        <w:t>10</w:t>
      </w:r>
      <w:r>
        <w:rPr>
          <w:rFonts w:hint="eastAsia" w:hAnsi="宋体" w:cs="宋体"/>
          <w:sz w:val="24"/>
        </w:rPr>
        <w:t>. 中标供应商工作人员需符合国家有关超市从业人员上岗的相关规定，所发生的任何问题均由合作企业负责处理。</w:t>
      </w:r>
    </w:p>
    <w:p>
      <w:pPr>
        <w:spacing w:line="440" w:lineRule="exact"/>
        <w:ind w:firstLine="424" w:firstLineChars="177"/>
        <w:rPr>
          <w:rFonts w:hint="eastAsia" w:hAnsi="宋体" w:cs="宋体"/>
          <w:sz w:val="24"/>
        </w:rPr>
      </w:pPr>
      <w:r>
        <w:rPr>
          <w:rFonts w:hAnsi="宋体" w:cs="宋体"/>
          <w:sz w:val="24"/>
        </w:rPr>
        <w:t>11</w:t>
      </w:r>
      <w:r>
        <w:rPr>
          <w:rFonts w:hint="eastAsia" w:hAnsi="宋体" w:cs="宋体"/>
          <w:sz w:val="24"/>
        </w:rPr>
        <w:t>. 中标供应商应保证所售产品的质量是符合国家或行业相关标准的，承担其因产品质量的引发的全部法律责任和经济责任。</w:t>
      </w:r>
    </w:p>
    <w:p>
      <w:pPr>
        <w:pStyle w:val="2"/>
        <w:ind w:left="0" w:leftChars="0" w:firstLine="0" w:firstLineChars="0"/>
        <w:rPr>
          <w:rFonts w:hint="default" w:eastAsia="宋体"/>
          <w:b/>
          <w:bCs/>
          <w:sz w:val="28"/>
          <w:szCs w:val="28"/>
          <w:lang w:val="en-US" w:eastAsia="zh-CN"/>
        </w:rPr>
      </w:pPr>
      <w:r>
        <w:rPr>
          <w:rFonts w:hint="eastAsia" w:hAnsi="宋体" w:cs="宋体"/>
          <w:b/>
          <w:bCs/>
          <w:sz w:val="28"/>
          <w:szCs w:val="28"/>
          <w:lang w:val="en-US" w:eastAsia="zh-CN"/>
        </w:rPr>
        <w:t>备注：以上4--11点须填写第三章第七项承诺函</w:t>
      </w:r>
    </w:p>
    <w:p>
      <w:pPr>
        <w:spacing w:line="440" w:lineRule="exact"/>
        <w:ind w:firstLine="426" w:firstLineChars="177"/>
        <w:rPr>
          <w:rFonts w:hAnsi="宋体" w:cs="宋体"/>
          <w:b/>
          <w:sz w:val="24"/>
        </w:rPr>
      </w:pPr>
      <w:r>
        <w:rPr>
          <w:rFonts w:hint="eastAsia" w:hAnsi="宋体" w:cs="宋体"/>
          <w:b/>
          <w:sz w:val="24"/>
        </w:rPr>
        <w:t>★（四）退出机制</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发生下列情况之一的，供应商必须无条件退出</w:t>
      </w:r>
    </w:p>
    <w:p>
      <w:pPr>
        <w:spacing w:line="440" w:lineRule="exact"/>
        <w:ind w:left="680" w:left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1</w:t>
      </w:r>
      <w:r>
        <w:rPr>
          <w:rFonts w:hint="eastAsia" w:hAnsi="宋体" w:cs="宋体"/>
          <w:color w:val="000000" w:themeColor="text1"/>
          <w:sz w:val="24"/>
          <w14:textFill>
            <w14:solidFill>
              <w14:schemeClr w14:val="tx1"/>
            </w14:solidFill>
          </w14:textFill>
        </w:rPr>
        <w:t>经营期间被相关行政主管部门认定为发生经营产品安全责任事故的；</w:t>
      </w:r>
    </w:p>
    <w:p>
      <w:pPr>
        <w:spacing w:line="440" w:lineRule="exact"/>
        <w:ind w:left="680" w:left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 xml:space="preserve">1.2 </w:t>
      </w:r>
      <w:r>
        <w:rPr>
          <w:rFonts w:hint="eastAsia" w:hAnsi="宋体" w:cs="宋体"/>
          <w:color w:val="000000" w:themeColor="text1"/>
          <w:sz w:val="24"/>
          <w14:textFill>
            <w14:solidFill>
              <w14:schemeClr w14:val="tx1"/>
            </w14:solidFill>
          </w14:textFill>
        </w:rPr>
        <w:t>经营期间被消防主管部门认定为发生消防安全责任事故的；</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r>
        <w:rPr>
          <w:rFonts w:hAnsi="宋体" w:cs="宋体"/>
          <w:color w:val="000000" w:themeColor="text1"/>
          <w:sz w:val="24"/>
          <w14:textFill>
            <w14:solidFill>
              <w14:schemeClr w14:val="tx1"/>
            </w14:solidFill>
          </w14:textFill>
        </w:rPr>
        <w:t>.</w:t>
      </w:r>
      <w:r>
        <w:rPr>
          <w:rFonts w:hint="eastAsia" w:hAnsi="宋体" w:cs="宋体"/>
          <w:color w:val="000000" w:themeColor="text1"/>
          <w:sz w:val="24"/>
          <w14:textFill>
            <w14:solidFill>
              <w14:schemeClr w14:val="tx1"/>
            </w14:solidFill>
          </w14:textFill>
        </w:rPr>
        <w:t>发生下列情况之一的，双方协商退出</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1</w:t>
      </w:r>
      <w:r>
        <w:rPr>
          <w:rFonts w:hAnsi="宋体" w:cs="宋体"/>
          <w:color w:val="000000" w:themeColor="text1"/>
          <w:sz w:val="24"/>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 xml:space="preserve">经营期限内因国家相关政策原因，学校无法履行合同，学校提前三个月通知合作企业,协商撤场， </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2.</w:t>
      </w:r>
      <w:r>
        <w:rPr>
          <w:rFonts w:hint="eastAsia" w:hAnsi="宋体" w:cs="宋体"/>
          <w:color w:val="000000" w:themeColor="text1"/>
          <w:sz w:val="24"/>
          <w14:textFill>
            <w14:solidFill>
              <w14:schemeClr w14:val="tx1"/>
            </w14:solidFill>
          </w14:textFill>
        </w:rPr>
        <w:t>2</w:t>
      </w:r>
      <w:r>
        <w:rPr>
          <w:rFonts w:hAnsi="宋体" w:cs="宋体"/>
          <w:color w:val="000000" w:themeColor="text1"/>
          <w:sz w:val="24"/>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经营期限内，因合作企业原因无法履行合同，合作企业需提前三个月通知学校后勤管理部门，在不破坏原有装修和结构的前提下退出经营。</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 xml:space="preserve">2.3 </w:t>
      </w:r>
      <w:r>
        <w:rPr>
          <w:rFonts w:hint="eastAsia" w:hAnsi="宋体" w:cs="宋体"/>
          <w:color w:val="000000" w:themeColor="text1"/>
          <w:sz w:val="24"/>
          <w14:textFill>
            <w14:solidFill>
              <w14:schemeClr w14:val="tx1"/>
            </w14:solidFill>
          </w14:textFill>
        </w:rPr>
        <w:t>经营期间，合作企业不得将经营权进行转让，一经发现，中止合同，相关问题协商解决。</w:t>
      </w:r>
    </w:p>
    <w:p>
      <w:pPr>
        <w:spacing w:line="440" w:lineRule="exact"/>
        <w:ind w:firstLine="480" w:firstLineChars="200"/>
        <w:rPr>
          <w:rFonts w:hAnsi="宋体" w:cs="宋体"/>
          <w:color w:val="000000" w:themeColor="text1"/>
          <w:sz w:val="24"/>
          <w14:textFill>
            <w14:solidFill>
              <w14:schemeClr w14:val="tx1"/>
            </w14:solidFill>
          </w14:textFill>
        </w:rPr>
      </w:pPr>
      <w:r>
        <w:rPr>
          <w:rFonts w:hAnsi="宋体" w:cs="宋体"/>
          <w:color w:val="000000" w:themeColor="text1"/>
          <w:sz w:val="24"/>
          <w14:textFill>
            <w14:solidFill>
              <w14:schemeClr w14:val="tx1"/>
            </w14:solidFill>
          </w14:textFill>
        </w:rPr>
        <w:t>3.</w:t>
      </w:r>
      <w:r>
        <w:rPr>
          <w:rFonts w:hint="eastAsia" w:hAnsi="宋体" w:cs="宋体"/>
          <w:color w:val="000000" w:themeColor="text1"/>
          <w:sz w:val="24"/>
          <w14:textFill>
            <w14:solidFill>
              <w14:schemeClr w14:val="tx1"/>
            </w14:solidFill>
          </w14:textFill>
        </w:rPr>
        <w:t>实施运营考评退出机制</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正式运营期间，每学年对学生使用智慧超市满意度情况进行问卷调查，连续三次满意度达不到8</w:t>
      </w:r>
      <w:r>
        <w:rPr>
          <w:rFonts w:hAnsi="宋体" w:cs="宋体"/>
          <w:color w:val="000000" w:themeColor="text1"/>
          <w:sz w:val="24"/>
          <w14:textFill>
            <w14:solidFill>
              <w14:schemeClr w14:val="tx1"/>
            </w14:solidFill>
          </w14:textFill>
        </w:rPr>
        <w:t>0</w:t>
      </w:r>
      <w:r>
        <w:rPr>
          <w:rFonts w:hint="eastAsia" w:hAnsi="宋体" w:cs="宋体"/>
          <w:color w:val="000000" w:themeColor="text1"/>
          <w:sz w:val="24"/>
          <w14:textFill>
            <w14:solidFill>
              <w14:schemeClr w14:val="tx1"/>
            </w14:solidFill>
          </w14:textFill>
        </w:rPr>
        <w:t>%以上，且责令供应商整改逾期未整改的情况，学校可以与供应商无条件解除合同，所有损失由供应商承担。</w:t>
      </w:r>
    </w:p>
    <w:p>
      <w:pPr>
        <w:spacing w:line="440" w:lineRule="exact"/>
        <w:ind w:firstLine="241" w:firstLineChars="100"/>
        <w:rPr>
          <w:rFonts w:hAnsi="宋体" w:cs="宋体"/>
          <w:b/>
          <w:color w:val="000000" w:themeColor="text1"/>
          <w:sz w:val="24"/>
          <w14:textFill>
            <w14:solidFill>
              <w14:schemeClr w14:val="tx1"/>
            </w14:solidFill>
          </w14:textFill>
        </w:rPr>
      </w:pPr>
      <w:r>
        <w:rPr>
          <w:rFonts w:hAnsi="宋体" w:cs="宋体"/>
          <w:b/>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五</w:t>
      </w:r>
      <w:r>
        <w:rPr>
          <w:rFonts w:hAnsi="宋体" w:cs="宋体"/>
          <w:b/>
          <w:color w:val="000000" w:themeColor="text1"/>
          <w:sz w:val="24"/>
          <w14:textFill>
            <w14:solidFill>
              <w14:schemeClr w14:val="tx1"/>
            </w14:solidFill>
          </w14:textFill>
        </w:rPr>
        <w:t>）解决争议的方式</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1.成交后履约期间,若双方发生争议，双方应通过友好协商解决，经协商不能达成协议时，应向采购人所在地当地的人民法院提起诉讼。</w:t>
      </w:r>
    </w:p>
    <w:p>
      <w:pPr>
        <w:spacing w:line="440" w:lineRule="exact"/>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2.在诉讼期间，除正在进行诉讼的部分外，合同其他部分继续执行。</w:t>
      </w:r>
    </w:p>
    <w:p>
      <w:pPr>
        <w:spacing w:line="440" w:lineRule="exact"/>
        <w:rPr>
          <w:rFonts w:hAnsi="宋体" w:cs="宋体"/>
          <w:sz w:val="24"/>
        </w:rPr>
      </w:pPr>
    </w:p>
    <w:p>
      <w:pPr>
        <w:pStyle w:val="5"/>
        <w:rPr>
          <w:rFonts w:ascii="宋体" w:hAnsi="宋体" w:eastAsia="宋体" w:cs="宋体"/>
          <w:sz w:val="24"/>
          <w:szCs w:val="24"/>
        </w:rPr>
      </w:pPr>
      <w:r>
        <w:rPr>
          <w:rFonts w:hint="eastAsia" w:ascii="宋体" w:hAnsi="宋体" w:eastAsia="宋体" w:cs="宋体"/>
          <w:sz w:val="24"/>
          <w:szCs w:val="24"/>
        </w:rPr>
        <w:t>注意：1、“★”条款为实质性要求，不允许负偏离，否则其响应文件作无效处理。</w:t>
      </w:r>
    </w:p>
    <w:p>
      <w:pPr>
        <w:pStyle w:val="5"/>
        <w:ind w:firstLine="723" w:firstLineChars="300"/>
        <w:rPr>
          <w:rFonts w:ascii="宋体" w:hAnsi="宋体" w:eastAsia="宋体" w:cs="宋体"/>
          <w:sz w:val="24"/>
          <w:szCs w:val="24"/>
        </w:rPr>
      </w:pPr>
      <w:r>
        <w:rPr>
          <w:rFonts w:hint="eastAsia" w:ascii="宋体" w:hAnsi="宋体" w:eastAsia="宋体" w:cs="宋体"/>
          <w:sz w:val="24"/>
          <w:szCs w:val="24"/>
        </w:rPr>
        <w:t>2、本次项目不接受联合体</w:t>
      </w:r>
      <w:r>
        <w:rPr>
          <w:rFonts w:hint="eastAsia" w:ascii="宋体" w:hAnsi="宋体" w:eastAsia="宋体" w:cs="宋体"/>
          <w:sz w:val="24"/>
          <w:szCs w:val="24"/>
          <w:lang w:val="en-US" w:eastAsia="zh-CN"/>
        </w:rPr>
        <w:t>投标</w:t>
      </w:r>
      <w:r>
        <w:rPr>
          <w:rFonts w:hint="eastAsia" w:ascii="宋体" w:hAnsi="宋体" w:eastAsia="宋体" w:cs="宋体"/>
          <w:sz w:val="24"/>
          <w:szCs w:val="24"/>
        </w:rPr>
        <w:t>；本次项目不得转包、分包。</w:t>
      </w:r>
      <w:bookmarkEnd w:id="97"/>
    </w:p>
    <w:p>
      <w:pPr>
        <w:adjustRightInd w:val="0"/>
        <w:snapToGrid w:val="0"/>
        <w:spacing w:line="360" w:lineRule="auto"/>
        <w:ind w:firstLine="710" w:firstLineChars="188"/>
        <w:jc w:val="left"/>
        <w:rPr>
          <w:rFonts w:hAnsi="宋体"/>
          <w:b/>
          <w:spacing w:val="8"/>
          <w:sz w:val="36"/>
          <w:szCs w:val="36"/>
        </w:rPr>
      </w:pPr>
    </w:p>
    <w:p>
      <w:pPr>
        <w:adjustRightInd w:val="0"/>
        <w:snapToGrid w:val="0"/>
        <w:spacing w:line="360" w:lineRule="auto"/>
        <w:ind w:firstLine="710" w:firstLineChars="188"/>
        <w:jc w:val="left"/>
        <w:rPr>
          <w:rFonts w:hAnsi="宋体"/>
          <w:b/>
          <w:spacing w:val="8"/>
          <w:sz w:val="36"/>
          <w:szCs w:val="36"/>
        </w:rPr>
      </w:pPr>
    </w:p>
    <w:p>
      <w:pPr>
        <w:adjustRightInd w:val="0"/>
        <w:snapToGrid w:val="0"/>
        <w:spacing w:line="360" w:lineRule="auto"/>
        <w:ind w:firstLine="710" w:firstLineChars="188"/>
        <w:jc w:val="left"/>
        <w:rPr>
          <w:rFonts w:hAnsi="宋体"/>
          <w:b/>
          <w:spacing w:val="8"/>
          <w:sz w:val="36"/>
          <w:szCs w:val="36"/>
        </w:rPr>
      </w:pPr>
    </w:p>
    <w:p>
      <w:pPr>
        <w:adjustRightInd w:val="0"/>
        <w:snapToGrid w:val="0"/>
        <w:spacing w:line="360" w:lineRule="auto"/>
        <w:ind w:firstLine="710" w:firstLineChars="188"/>
        <w:jc w:val="left"/>
        <w:rPr>
          <w:rFonts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p>
    <w:p>
      <w:pPr>
        <w:adjustRightInd w:val="0"/>
        <w:snapToGrid w:val="0"/>
        <w:spacing w:line="360" w:lineRule="auto"/>
        <w:ind w:firstLine="710" w:firstLineChars="188"/>
        <w:jc w:val="center"/>
        <w:rPr>
          <w:rFonts w:hint="eastAsia" w:hAnsi="宋体"/>
          <w:b/>
          <w:spacing w:val="8"/>
          <w:sz w:val="36"/>
          <w:szCs w:val="36"/>
        </w:rPr>
      </w:pPr>
    </w:p>
    <w:p>
      <w:pPr>
        <w:adjustRightInd w:val="0"/>
        <w:snapToGrid w:val="0"/>
        <w:spacing w:line="360" w:lineRule="auto"/>
        <w:ind w:firstLine="710" w:firstLineChars="188"/>
        <w:jc w:val="center"/>
        <w:rPr>
          <w:rFonts w:hint="eastAsia" w:hAnsi="宋体"/>
          <w:b/>
          <w:spacing w:val="8"/>
          <w:sz w:val="36"/>
          <w:szCs w:val="36"/>
        </w:rPr>
      </w:pPr>
    </w:p>
    <w:p>
      <w:pPr>
        <w:adjustRightInd w:val="0"/>
        <w:snapToGrid w:val="0"/>
        <w:spacing w:line="360" w:lineRule="auto"/>
        <w:ind w:firstLine="710" w:firstLineChars="188"/>
        <w:jc w:val="center"/>
        <w:rPr>
          <w:rFonts w:hint="eastAsia" w:hAnsi="宋体"/>
          <w:b/>
          <w:spacing w:val="8"/>
          <w:sz w:val="36"/>
          <w:szCs w:val="36"/>
        </w:rPr>
      </w:pPr>
    </w:p>
    <w:p>
      <w:pPr>
        <w:adjustRightInd w:val="0"/>
        <w:snapToGrid w:val="0"/>
        <w:spacing w:line="360" w:lineRule="auto"/>
        <w:ind w:firstLine="710" w:firstLineChars="188"/>
        <w:jc w:val="center"/>
        <w:rPr>
          <w:rFonts w:hAnsi="宋体"/>
          <w:b/>
          <w:spacing w:val="8"/>
          <w:sz w:val="36"/>
          <w:szCs w:val="36"/>
        </w:rPr>
      </w:pPr>
      <w:r>
        <w:rPr>
          <w:rFonts w:hint="eastAsia" w:hAnsi="宋体"/>
          <w:b/>
          <w:spacing w:val="8"/>
          <w:sz w:val="36"/>
          <w:szCs w:val="36"/>
        </w:rPr>
        <w:t>第五章 评标办法</w:t>
      </w: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w:t>
      </w:r>
      <w:r>
        <w:rPr>
          <w:rFonts w:hint="eastAsia" w:hAnsi="宋体"/>
          <w:color w:val="000000"/>
          <w:sz w:val="24"/>
          <w:lang w:val="en-US" w:eastAsia="zh-CN"/>
        </w:rPr>
        <w:t>各</w:t>
      </w:r>
      <w:r>
        <w:rPr>
          <w:rFonts w:hint="eastAsia" w:hAnsi="宋体"/>
          <w:color w:val="000000"/>
          <w:sz w:val="24"/>
        </w:rPr>
        <w:t>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bookmarkEnd w:id="41"/>
    <w:bookmarkEnd w:id="42"/>
    <w:tbl>
      <w:tblPr>
        <w:tblStyle w:val="20"/>
        <w:tblpPr w:leftFromText="180" w:rightFromText="180" w:vertAnchor="text" w:horzAnchor="page" w:tblpX="1086" w:tblpY="568"/>
        <w:tblOverlap w:val="never"/>
        <w:tblW w:w="9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
        <w:gridCol w:w="1328"/>
        <w:gridCol w:w="7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31" w:type="dxa"/>
          </w:tcPr>
          <w:p>
            <w:pPr>
              <w:pStyle w:val="78"/>
              <w:ind w:left="99" w:right="90"/>
              <w:rPr>
                <w:rFonts w:ascii="宋体" w:hAnsi="宋体" w:cs="宋体"/>
                <w:sz w:val="24"/>
              </w:rPr>
            </w:pPr>
            <w:r>
              <w:rPr>
                <w:rFonts w:hint="eastAsia" w:ascii="宋体" w:hAnsi="宋体" w:cs="宋体"/>
                <w:sz w:val="24"/>
              </w:rPr>
              <w:t>序号</w:t>
            </w:r>
          </w:p>
        </w:tc>
        <w:tc>
          <w:tcPr>
            <w:tcW w:w="1328" w:type="dxa"/>
          </w:tcPr>
          <w:p>
            <w:pPr>
              <w:pStyle w:val="78"/>
              <w:spacing w:before="66" w:line="357" w:lineRule="auto"/>
              <w:ind w:right="94"/>
              <w:rPr>
                <w:rFonts w:ascii="宋体" w:hAnsi="宋体" w:cs="宋体"/>
                <w:sz w:val="24"/>
              </w:rPr>
            </w:pPr>
            <w:r>
              <w:rPr>
                <w:rFonts w:hint="eastAsia" w:ascii="宋体" w:hAnsi="宋体" w:cs="宋体"/>
                <w:sz w:val="24"/>
              </w:rPr>
              <w:t>评分项目及分值</w:t>
            </w:r>
          </w:p>
        </w:tc>
        <w:tc>
          <w:tcPr>
            <w:tcW w:w="7940" w:type="dxa"/>
          </w:tcPr>
          <w:p>
            <w:pPr>
              <w:pStyle w:val="78"/>
              <w:spacing w:before="10"/>
              <w:ind w:firstLine="480"/>
              <w:rPr>
                <w:rFonts w:ascii="宋体" w:hAnsi="宋体" w:cs="宋体"/>
                <w:sz w:val="24"/>
              </w:rPr>
            </w:pPr>
          </w:p>
          <w:p>
            <w:pPr>
              <w:pStyle w:val="78"/>
              <w:ind w:left="3199" w:right="3188" w:firstLine="480"/>
              <w:jc w:val="center"/>
              <w:rPr>
                <w:rFonts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431" w:type="dxa"/>
            <w:vAlign w:val="center"/>
          </w:tcPr>
          <w:p>
            <w:pPr>
              <w:pStyle w:val="78"/>
              <w:spacing w:before="69"/>
              <w:jc w:val="center"/>
              <w:rPr>
                <w:rFonts w:ascii="宋体" w:hAnsi="宋体" w:cs="宋体"/>
                <w:sz w:val="24"/>
              </w:rPr>
            </w:pPr>
            <w:r>
              <w:rPr>
                <w:rFonts w:hint="eastAsia" w:ascii="宋体" w:hAnsi="宋体" w:cs="宋体"/>
                <w:sz w:val="24"/>
              </w:rPr>
              <w:t>1</w:t>
            </w:r>
          </w:p>
        </w:tc>
        <w:tc>
          <w:tcPr>
            <w:tcW w:w="1328" w:type="dxa"/>
            <w:vAlign w:val="center"/>
          </w:tcPr>
          <w:p>
            <w:pPr>
              <w:pStyle w:val="78"/>
              <w:spacing w:before="113"/>
              <w:ind w:firstLine="480" w:firstLineChars="200"/>
              <w:rPr>
                <w:rFonts w:ascii="宋体" w:hAnsi="宋体" w:cs="宋体"/>
                <w:sz w:val="24"/>
              </w:rPr>
            </w:pPr>
            <w:r>
              <w:rPr>
                <w:rFonts w:hint="eastAsia" w:ascii="宋体" w:hAnsi="宋体" w:cs="宋体"/>
                <w:sz w:val="24"/>
              </w:rPr>
              <w:t>报价</w:t>
            </w:r>
          </w:p>
          <w:p>
            <w:pPr>
              <w:pStyle w:val="78"/>
              <w:spacing w:before="113"/>
              <w:rPr>
                <w:rFonts w:ascii="宋体" w:hAnsi="宋体" w:cs="宋体"/>
                <w:sz w:val="24"/>
              </w:rPr>
            </w:pPr>
            <w:r>
              <w:rPr>
                <w:rFonts w:hint="eastAsia" w:ascii="宋体" w:hAnsi="宋体" w:cs="宋体"/>
                <w:sz w:val="24"/>
              </w:rPr>
              <w:t>（共45分）</w:t>
            </w:r>
          </w:p>
        </w:tc>
        <w:tc>
          <w:tcPr>
            <w:tcW w:w="7940" w:type="dxa"/>
          </w:tcPr>
          <w:p>
            <w:pPr>
              <w:pStyle w:val="78"/>
              <w:tabs>
                <w:tab w:val="left" w:pos="350"/>
              </w:tabs>
              <w:spacing w:before="6" w:line="440" w:lineRule="exact"/>
              <w:ind w:firstLine="480"/>
              <w:rPr>
                <w:rFonts w:ascii="宋体" w:hAnsi="宋体" w:cs="宋体"/>
                <w:sz w:val="24"/>
              </w:rPr>
            </w:pPr>
            <w:r>
              <w:rPr>
                <w:rFonts w:hint="eastAsia" w:ascii="宋体" w:hAnsi="宋体" w:cs="宋体"/>
                <w:sz w:val="24"/>
              </w:rPr>
              <w:t>1.满足招标文件要求且最后报价最高的供应商的价格为基准价，其价格分为满分。其他供应商的价格分统一按照下列公式计算：</w:t>
            </w:r>
          </w:p>
          <w:p>
            <w:pPr>
              <w:pStyle w:val="78"/>
              <w:tabs>
                <w:tab w:val="left" w:pos="350"/>
              </w:tabs>
              <w:spacing w:before="6" w:line="440" w:lineRule="exact"/>
              <w:ind w:firstLine="241" w:firstLineChars="100"/>
              <w:rPr>
                <w:rFonts w:ascii="宋体" w:hAnsi="宋体" w:cs="宋体"/>
                <w:sz w:val="24"/>
              </w:rPr>
            </w:pPr>
            <w:r>
              <w:rPr>
                <w:rFonts w:hint="eastAsia" w:ascii="宋体" w:hAnsi="宋体" w:cs="宋体"/>
                <w:b/>
                <w:sz w:val="24"/>
              </w:rPr>
              <w:t>报价得分=（</w:t>
            </w:r>
            <w:r>
              <w:rPr>
                <w:rFonts w:hint="eastAsia" w:ascii="宋体" w:hAnsi="宋体" w:cs="宋体"/>
                <w:b/>
                <w:sz w:val="24"/>
                <w:lang w:val="en-US" w:eastAsia="zh-CN"/>
              </w:rPr>
              <w:t>投标</w:t>
            </w:r>
            <w:r>
              <w:rPr>
                <w:rFonts w:hint="eastAsia" w:ascii="宋体" w:hAnsi="宋体" w:cs="宋体"/>
                <w:b/>
                <w:sz w:val="24"/>
              </w:rPr>
              <w:t>报价／</w:t>
            </w:r>
            <w:r>
              <w:rPr>
                <w:rFonts w:hint="eastAsia" w:ascii="宋体" w:hAnsi="宋体" w:cs="宋体"/>
                <w:b/>
                <w:sz w:val="24"/>
                <w:lang w:val="en-US" w:eastAsia="zh-CN"/>
              </w:rPr>
              <w:t>投标</w:t>
            </w:r>
            <w:r>
              <w:rPr>
                <w:rFonts w:hint="eastAsia" w:ascii="宋体" w:hAnsi="宋体" w:cs="宋体"/>
                <w:b/>
                <w:sz w:val="24"/>
              </w:rPr>
              <w:t>基准价）×价格权值</w:t>
            </w:r>
            <w:r>
              <w:rPr>
                <w:rFonts w:hint="eastAsia" w:ascii="宋体" w:hAnsi="宋体" w:cs="宋体"/>
                <w:sz w:val="24"/>
              </w:rPr>
              <w:t>。</w:t>
            </w:r>
          </w:p>
          <w:p>
            <w:pPr>
              <w:pStyle w:val="78"/>
              <w:tabs>
                <w:tab w:val="left" w:pos="350"/>
              </w:tabs>
              <w:spacing w:before="6" w:line="440" w:lineRule="exact"/>
              <w:ind w:firstLine="480"/>
              <w:rPr>
                <w:rFonts w:ascii="宋体" w:hAnsi="宋体" w:cs="宋体"/>
                <w:sz w:val="24"/>
              </w:rPr>
            </w:pPr>
            <w:r>
              <w:rPr>
                <w:rFonts w:hint="eastAsia" w:ascii="宋体" w:hAnsi="宋体" w:cs="宋体"/>
                <w:sz w:val="24"/>
              </w:rPr>
              <w:t>2.评分的取值按四舍五入法，保留小数点后两位。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431" w:type="dxa"/>
            <w:vAlign w:val="center"/>
          </w:tcPr>
          <w:p>
            <w:pPr>
              <w:pStyle w:val="78"/>
              <w:spacing w:before="7"/>
              <w:ind w:firstLine="480"/>
              <w:jc w:val="center"/>
              <w:rPr>
                <w:rFonts w:ascii="宋体" w:hAnsi="宋体" w:cs="宋体"/>
                <w:sz w:val="24"/>
              </w:rPr>
            </w:pPr>
          </w:p>
          <w:p>
            <w:pPr>
              <w:pStyle w:val="78"/>
              <w:jc w:val="center"/>
              <w:rPr>
                <w:rFonts w:ascii="宋体" w:hAnsi="宋体" w:cs="宋体"/>
                <w:sz w:val="24"/>
              </w:rPr>
            </w:pPr>
            <w:r>
              <w:rPr>
                <w:rFonts w:hint="eastAsia" w:ascii="宋体" w:hAnsi="宋体" w:cs="宋体"/>
                <w:sz w:val="24"/>
              </w:rPr>
              <w:t>2</w:t>
            </w:r>
          </w:p>
        </w:tc>
        <w:tc>
          <w:tcPr>
            <w:tcW w:w="1328" w:type="dxa"/>
            <w:vAlign w:val="center"/>
          </w:tcPr>
          <w:p>
            <w:pPr>
              <w:pStyle w:val="78"/>
              <w:rPr>
                <w:rFonts w:ascii="宋体" w:hAnsi="宋体" w:cs="宋体"/>
                <w:sz w:val="24"/>
              </w:rPr>
            </w:pPr>
            <w:r>
              <w:rPr>
                <w:rFonts w:hint="eastAsia" w:ascii="宋体" w:hAnsi="宋体" w:cs="宋体"/>
                <w:sz w:val="24"/>
              </w:rPr>
              <w:t>技术指标（</w:t>
            </w:r>
            <w:r>
              <w:rPr>
                <w:rFonts w:ascii="宋体" w:hAnsi="宋体" w:cs="宋体"/>
                <w:sz w:val="24"/>
              </w:rPr>
              <w:t>1</w:t>
            </w:r>
            <w:r>
              <w:rPr>
                <w:rFonts w:hint="eastAsia" w:ascii="宋体" w:hAnsi="宋体" w:cs="宋体"/>
                <w:sz w:val="24"/>
              </w:rPr>
              <w:t>0分）</w:t>
            </w:r>
          </w:p>
        </w:tc>
        <w:tc>
          <w:tcPr>
            <w:tcW w:w="7940" w:type="dxa"/>
          </w:tcPr>
          <w:p>
            <w:pPr>
              <w:pStyle w:val="78"/>
              <w:tabs>
                <w:tab w:val="left" w:pos="350"/>
              </w:tabs>
              <w:spacing w:before="6" w:line="440" w:lineRule="exact"/>
              <w:ind w:firstLine="240" w:firstLineChars="100"/>
              <w:rPr>
                <w:rFonts w:ascii="宋体" w:hAnsi="宋体" w:cs="宋体"/>
                <w:sz w:val="24"/>
              </w:rPr>
            </w:pPr>
            <w:r>
              <w:rPr>
                <w:rFonts w:hint="eastAsia" w:ascii="宋体" w:hAnsi="宋体" w:cs="宋体"/>
                <w:sz w:val="24"/>
              </w:rPr>
              <w:t>供应商所投响应文件完全满足采购文件四章中非“★”参数要求得</w:t>
            </w:r>
            <w:r>
              <w:rPr>
                <w:rFonts w:ascii="宋体" w:hAnsi="宋体" w:cs="宋体"/>
                <w:sz w:val="24"/>
              </w:rPr>
              <w:t>10</w:t>
            </w:r>
            <w:r>
              <w:rPr>
                <w:rFonts w:hint="eastAsia" w:ascii="宋体" w:hAnsi="宋体" w:cs="宋体"/>
                <w:sz w:val="24"/>
              </w:rPr>
              <w:t>分，每有一项非“★”参数不满足扣1分，直至本项分值扣完为止。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431" w:type="dxa"/>
            <w:vAlign w:val="center"/>
          </w:tcPr>
          <w:p>
            <w:pPr>
              <w:pStyle w:val="78"/>
              <w:ind w:firstLine="480"/>
              <w:jc w:val="center"/>
              <w:rPr>
                <w:rFonts w:ascii="宋体" w:hAnsi="宋体" w:cs="宋体"/>
                <w:sz w:val="24"/>
              </w:rPr>
            </w:pPr>
          </w:p>
          <w:p>
            <w:pPr>
              <w:pStyle w:val="78"/>
              <w:spacing w:before="153"/>
              <w:jc w:val="center"/>
              <w:rPr>
                <w:rFonts w:ascii="宋体" w:hAnsi="宋体" w:cs="宋体"/>
                <w:sz w:val="24"/>
              </w:rPr>
            </w:pPr>
            <w:r>
              <w:rPr>
                <w:rFonts w:hint="eastAsia" w:ascii="宋体" w:hAnsi="宋体" w:cs="宋体"/>
                <w:sz w:val="24"/>
              </w:rPr>
              <w:t>3</w:t>
            </w:r>
          </w:p>
        </w:tc>
        <w:tc>
          <w:tcPr>
            <w:tcW w:w="1328" w:type="dxa"/>
            <w:vAlign w:val="center"/>
          </w:tcPr>
          <w:p>
            <w:pPr>
              <w:pStyle w:val="78"/>
              <w:spacing w:before="111" w:line="357" w:lineRule="auto"/>
              <w:ind w:left="105" w:right="95"/>
              <w:rPr>
                <w:rFonts w:ascii="宋体" w:hAnsi="宋体" w:cs="宋体"/>
                <w:sz w:val="24"/>
              </w:rPr>
            </w:pPr>
            <w:r>
              <w:rPr>
                <w:rFonts w:hint="eastAsia" w:ascii="宋体" w:hAnsi="宋体" w:cs="宋体"/>
                <w:sz w:val="24"/>
              </w:rPr>
              <w:t>服务及实施方案（28分）</w:t>
            </w:r>
          </w:p>
        </w:tc>
        <w:tc>
          <w:tcPr>
            <w:tcW w:w="7940" w:type="dxa"/>
          </w:tcPr>
          <w:p>
            <w:pPr>
              <w:pStyle w:val="78"/>
              <w:tabs>
                <w:tab w:val="left" w:pos="350"/>
              </w:tabs>
              <w:spacing w:before="6" w:line="440" w:lineRule="exact"/>
              <w:ind w:firstLine="480" w:firstLineChars="200"/>
              <w:rPr>
                <w:rFonts w:ascii="宋体" w:hAnsi="宋体" w:cs="宋体"/>
                <w:sz w:val="24"/>
              </w:rPr>
            </w:pPr>
            <w:r>
              <w:rPr>
                <w:rFonts w:hint="eastAsia" w:ascii="宋体" w:hAnsi="宋体" w:cs="宋体"/>
                <w:sz w:val="24"/>
              </w:rPr>
              <w:t>针对本项目的实际情况及要求，供应商须编制严谨、具备针对性的服务及实施方案，具体涵盖以下内容：</w:t>
            </w:r>
          </w:p>
          <w:p>
            <w:pPr>
              <w:pStyle w:val="78"/>
              <w:tabs>
                <w:tab w:val="left" w:pos="350"/>
              </w:tabs>
              <w:spacing w:before="6" w:line="440" w:lineRule="exact"/>
              <w:ind w:firstLine="480"/>
              <w:rPr>
                <w:rFonts w:ascii="宋体" w:hAnsi="宋体" w:cs="宋体"/>
                <w:sz w:val="24"/>
              </w:rPr>
            </w:pPr>
            <w:r>
              <w:rPr>
                <w:rFonts w:hint="eastAsia" w:ascii="宋体" w:hAnsi="宋体" w:cs="宋体"/>
                <w:sz w:val="24"/>
              </w:rPr>
              <w:t>1、整体运营方案，方案包含①经营现状分析；②定点服务人员安排及生活设备维保技术人员配备；③质量管理措施（进货及储备、临期食品清理）；④应急预案（疫情防控、停电停水、设备故障等）；⑤营销策略；⑥消防安全防范措施，</w:t>
            </w:r>
            <w:r>
              <w:rPr>
                <w:rFonts w:ascii="宋体" w:hAnsi="宋体" w:cs="宋体"/>
                <w:sz w:val="24"/>
              </w:rPr>
              <w:t>提供的售后</w:t>
            </w:r>
            <w:r>
              <w:rPr>
                <w:rFonts w:hint="eastAsia" w:ascii="宋体" w:hAnsi="宋体" w:cs="宋体"/>
                <w:sz w:val="24"/>
              </w:rPr>
              <w:t>实施</w:t>
            </w:r>
            <w:r>
              <w:rPr>
                <w:rFonts w:ascii="宋体" w:hAnsi="宋体" w:cs="宋体"/>
                <w:sz w:val="24"/>
              </w:rPr>
              <w:t>方案完整且符合实际需求的得</w:t>
            </w:r>
            <w:r>
              <w:rPr>
                <w:rFonts w:hint="eastAsia" w:ascii="宋体" w:hAnsi="宋体" w:cs="宋体"/>
                <w:sz w:val="24"/>
              </w:rPr>
              <w:t>18</w:t>
            </w:r>
            <w:r>
              <w:rPr>
                <w:rFonts w:ascii="宋体" w:hAnsi="宋体" w:cs="宋体"/>
                <w:sz w:val="24"/>
              </w:rPr>
              <w:t>分；每缺一项内容扣</w:t>
            </w:r>
            <w:r>
              <w:rPr>
                <w:rFonts w:hint="eastAsia" w:ascii="宋体" w:hAnsi="宋体" w:cs="宋体"/>
                <w:sz w:val="24"/>
              </w:rPr>
              <w:t>3</w:t>
            </w:r>
            <w:r>
              <w:rPr>
                <w:rFonts w:ascii="宋体" w:hAnsi="宋体" w:cs="宋体"/>
                <w:sz w:val="24"/>
              </w:rPr>
              <w:t>分，每有一项存在缺陷（缺陷为方案内容与项目实际情况不符或存在偏差或过于简略或存在无关的内容或不满足要求或前后矛盾）的扣1</w:t>
            </w:r>
            <w:r>
              <w:rPr>
                <w:rFonts w:hint="eastAsia" w:ascii="宋体" w:hAnsi="宋体" w:cs="宋体"/>
                <w:sz w:val="24"/>
              </w:rPr>
              <w:t>.5</w:t>
            </w:r>
            <w:r>
              <w:rPr>
                <w:rFonts w:ascii="宋体" w:hAnsi="宋体" w:cs="宋体"/>
                <w:sz w:val="24"/>
              </w:rPr>
              <w:t>分，扣完为止。</w:t>
            </w:r>
          </w:p>
          <w:p>
            <w:pPr>
              <w:pStyle w:val="78"/>
              <w:tabs>
                <w:tab w:val="left" w:pos="350"/>
              </w:tabs>
              <w:spacing w:before="6" w:line="440" w:lineRule="exact"/>
              <w:ind w:firstLine="480"/>
              <w:rPr>
                <w:rFonts w:ascii="宋体" w:hAnsi="宋体" w:cs="宋体"/>
                <w:sz w:val="24"/>
              </w:rPr>
            </w:pPr>
            <w:r>
              <w:rPr>
                <w:rFonts w:hint="eastAsia" w:ascii="宋体" w:hAnsi="宋体" w:cs="宋体"/>
                <w:sz w:val="24"/>
              </w:rPr>
              <w:t>2、装修设计方案，方案需包含①装修场地现状说明（图文结合）；②设计图及装修效果图；③设计主题；④人员分流线路；⑤费用清单（含人工、材料等），方案内容完全满足本项目要求且完整合理，逻辑严谨得10分，</w:t>
            </w:r>
            <w:r>
              <w:rPr>
                <w:rFonts w:ascii="宋体" w:hAnsi="宋体" w:cs="宋体"/>
                <w:sz w:val="24"/>
              </w:rPr>
              <w:t>每有一项存在缺陷（缺陷为方案内容与项目实际情况不符或存在偏差或过于简略或存在无关的内容或不满足要求或前后矛盾）</w:t>
            </w:r>
            <w:r>
              <w:rPr>
                <w:rFonts w:hint="eastAsia" w:ascii="宋体" w:hAnsi="宋体" w:cs="宋体"/>
                <w:sz w:val="24"/>
              </w:rPr>
              <w:t>的扣2分，直至分值扣完为止。</w:t>
            </w:r>
          </w:p>
          <w:p>
            <w:pPr>
              <w:pStyle w:val="78"/>
              <w:tabs>
                <w:tab w:val="left" w:pos="350"/>
              </w:tabs>
              <w:spacing w:before="6" w:line="440" w:lineRule="exact"/>
              <w:ind w:firstLine="240" w:firstLineChars="100"/>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431" w:type="dxa"/>
            <w:vAlign w:val="center"/>
          </w:tcPr>
          <w:p>
            <w:pPr>
              <w:pStyle w:val="78"/>
              <w:spacing w:before="153"/>
              <w:jc w:val="center"/>
              <w:rPr>
                <w:rFonts w:ascii="宋体" w:hAnsi="宋体" w:cs="宋体"/>
                <w:color w:val="FF0000"/>
                <w:sz w:val="24"/>
              </w:rPr>
            </w:pPr>
            <w:r>
              <w:rPr>
                <w:rFonts w:hint="eastAsia" w:ascii="宋体" w:hAnsi="宋体" w:cs="宋体"/>
                <w:sz w:val="24"/>
              </w:rPr>
              <w:t>4</w:t>
            </w:r>
          </w:p>
        </w:tc>
        <w:tc>
          <w:tcPr>
            <w:tcW w:w="1328" w:type="dxa"/>
            <w:vAlign w:val="center"/>
          </w:tcPr>
          <w:p>
            <w:pPr>
              <w:pStyle w:val="78"/>
              <w:spacing w:before="1"/>
              <w:ind w:firstLine="480" w:firstLineChars="200"/>
              <w:rPr>
                <w:rFonts w:ascii="宋体" w:hAnsi="宋体" w:cs="宋体"/>
                <w:sz w:val="24"/>
              </w:rPr>
            </w:pPr>
            <w:r>
              <w:rPr>
                <w:rFonts w:hint="eastAsia" w:ascii="宋体" w:hAnsi="宋体" w:cs="宋体"/>
                <w:sz w:val="24"/>
              </w:rPr>
              <w:t>业绩</w:t>
            </w:r>
          </w:p>
          <w:p>
            <w:pPr>
              <w:pStyle w:val="78"/>
              <w:spacing w:before="1"/>
              <w:ind w:left="180"/>
              <w:jc w:val="center"/>
              <w:rPr>
                <w:rFonts w:ascii="宋体" w:hAnsi="宋体" w:cs="宋体"/>
                <w:sz w:val="24"/>
              </w:rPr>
            </w:pPr>
            <w:r>
              <w:rPr>
                <w:rFonts w:hint="eastAsia" w:ascii="宋体" w:hAnsi="宋体" w:cs="宋体"/>
                <w:sz w:val="24"/>
              </w:rPr>
              <w:t>（10分）</w:t>
            </w:r>
          </w:p>
        </w:tc>
        <w:tc>
          <w:tcPr>
            <w:tcW w:w="7940" w:type="dxa"/>
          </w:tcPr>
          <w:p>
            <w:pPr>
              <w:pStyle w:val="78"/>
              <w:tabs>
                <w:tab w:val="left" w:pos="350"/>
              </w:tabs>
              <w:spacing w:before="6" w:line="440" w:lineRule="exact"/>
              <w:ind w:firstLine="480" w:firstLineChars="200"/>
              <w:rPr>
                <w:rFonts w:ascii="宋体" w:hAnsi="宋体" w:cs="宋体"/>
                <w:sz w:val="24"/>
              </w:rPr>
            </w:pPr>
            <w:r>
              <w:rPr>
                <w:rFonts w:hint="eastAsia" w:ascii="宋体" w:hAnsi="宋体" w:cs="宋体"/>
                <w:sz w:val="24"/>
              </w:rPr>
              <w:t>合作企业提供有自2018年1月1日以来至本项目开标前在商场、车站、学校等人口密集场所经营无人便利店（无人超市、智慧超市）项目业绩的，每有一项得3分，最多得</w:t>
            </w:r>
            <w:r>
              <w:rPr>
                <w:rFonts w:ascii="宋体" w:hAnsi="宋体" w:cs="宋体"/>
                <w:sz w:val="24"/>
              </w:rPr>
              <w:t>10</w:t>
            </w:r>
            <w:r>
              <w:rPr>
                <w:rFonts w:hint="eastAsia" w:ascii="宋体" w:hAnsi="宋体" w:cs="宋体"/>
                <w:sz w:val="24"/>
              </w:rPr>
              <w:t>分</w:t>
            </w:r>
          </w:p>
          <w:p>
            <w:pPr>
              <w:pStyle w:val="78"/>
              <w:tabs>
                <w:tab w:val="left" w:pos="350"/>
              </w:tabs>
              <w:spacing w:before="6" w:line="440" w:lineRule="exact"/>
              <w:ind w:firstLine="240" w:firstLineChars="100"/>
              <w:rPr>
                <w:rFonts w:ascii="宋体" w:hAnsi="宋体" w:cs="宋体"/>
                <w:sz w:val="24"/>
              </w:rPr>
            </w:pPr>
            <w:r>
              <w:rPr>
                <w:rFonts w:hint="eastAsia" w:ascii="宋体" w:hAnsi="宋体" w:cs="宋体"/>
                <w:sz w:val="24"/>
              </w:rPr>
              <w:t>（说明：提供中标/成交通知书或合同复印件并加盖公章等证明材料、原件备查）。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431" w:type="dxa"/>
            <w:vAlign w:val="center"/>
          </w:tcPr>
          <w:p>
            <w:pPr>
              <w:pStyle w:val="78"/>
              <w:spacing w:before="144"/>
              <w:jc w:val="center"/>
              <w:rPr>
                <w:rFonts w:ascii="宋体" w:hAnsi="宋体" w:cs="宋体"/>
                <w:sz w:val="24"/>
              </w:rPr>
            </w:pPr>
            <w:r>
              <w:rPr>
                <w:rFonts w:hint="eastAsia" w:ascii="宋体" w:hAnsi="宋体" w:cs="宋体"/>
                <w:sz w:val="24"/>
              </w:rPr>
              <w:t>5</w:t>
            </w:r>
          </w:p>
        </w:tc>
        <w:tc>
          <w:tcPr>
            <w:tcW w:w="1328" w:type="dxa"/>
            <w:vAlign w:val="center"/>
          </w:tcPr>
          <w:p>
            <w:pPr>
              <w:pStyle w:val="78"/>
              <w:spacing w:line="357" w:lineRule="auto"/>
              <w:ind w:right="186"/>
              <w:jc w:val="center"/>
              <w:rPr>
                <w:rFonts w:ascii="宋体" w:hAnsi="宋体" w:cs="宋体"/>
                <w:sz w:val="24"/>
              </w:rPr>
            </w:pPr>
            <w:r>
              <w:rPr>
                <w:rFonts w:hint="eastAsia" w:ascii="宋体" w:hAnsi="宋体" w:cs="宋体"/>
                <w:sz w:val="24"/>
              </w:rPr>
              <w:t>服务承诺</w:t>
            </w:r>
          </w:p>
          <w:p>
            <w:pPr>
              <w:pStyle w:val="78"/>
              <w:spacing w:line="357" w:lineRule="auto"/>
              <w:ind w:right="186"/>
              <w:jc w:val="center"/>
              <w:rPr>
                <w:rFonts w:ascii="宋体" w:hAnsi="宋体" w:cs="宋体"/>
                <w:sz w:val="24"/>
              </w:rPr>
            </w:pPr>
            <w:r>
              <w:rPr>
                <w:rFonts w:hint="eastAsia" w:ascii="宋体" w:hAnsi="宋体" w:cs="宋体"/>
                <w:sz w:val="24"/>
              </w:rPr>
              <w:t>（5分）</w:t>
            </w:r>
          </w:p>
        </w:tc>
        <w:tc>
          <w:tcPr>
            <w:tcW w:w="7940" w:type="dxa"/>
          </w:tcPr>
          <w:p>
            <w:pPr>
              <w:spacing w:line="440" w:lineRule="exact"/>
              <w:ind w:firstLine="482"/>
              <w:rPr>
                <w:rFonts w:hAnsi="宋体"/>
                <w:bCs/>
                <w:sz w:val="24"/>
              </w:rPr>
            </w:pPr>
            <w:r>
              <w:rPr>
                <w:rFonts w:hint="eastAsia" w:hAnsi="宋体"/>
                <w:bCs/>
                <w:sz w:val="24"/>
              </w:rPr>
              <w:t>1、投标人承诺从正规渠道进货，所有货物必须证件齐全，食品类必须索证备查；2分</w:t>
            </w:r>
          </w:p>
          <w:p>
            <w:pPr>
              <w:spacing w:line="440" w:lineRule="exact"/>
              <w:ind w:firstLine="482"/>
              <w:rPr>
                <w:rFonts w:hAnsi="宋体"/>
                <w:bCs/>
                <w:sz w:val="24"/>
              </w:rPr>
            </w:pPr>
            <w:r>
              <w:rPr>
                <w:rFonts w:hint="eastAsia" w:hAnsi="宋体"/>
                <w:bCs/>
                <w:sz w:val="24"/>
              </w:rPr>
              <w:t>2、投标人承诺所售商品价格不高于学校周边超市的平均价格；1分</w:t>
            </w:r>
          </w:p>
          <w:p>
            <w:pPr>
              <w:spacing w:line="440" w:lineRule="exact"/>
              <w:ind w:firstLine="482"/>
              <w:rPr>
                <w:rFonts w:hAnsi="宋体" w:cs="宋体"/>
                <w:sz w:val="24"/>
              </w:rPr>
            </w:pPr>
            <w:r>
              <w:rPr>
                <w:rFonts w:hint="eastAsia" w:hAnsi="宋体"/>
                <w:bCs/>
                <w:sz w:val="24"/>
              </w:rPr>
              <w:t>3、</w:t>
            </w:r>
            <w:r>
              <w:rPr>
                <w:rFonts w:hint="eastAsia"/>
                <w:sz w:val="24"/>
              </w:rPr>
              <w:t>供应商提供承诺函,承诺确保生活服务点网络、治安、消防等安全及所使用的APP无知识产权纠纷。2分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431" w:type="dxa"/>
            <w:vAlign w:val="center"/>
          </w:tcPr>
          <w:p>
            <w:pPr>
              <w:pStyle w:val="78"/>
              <w:spacing w:before="144"/>
              <w:jc w:val="center"/>
              <w:rPr>
                <w:rFonts w:ascii="宋体" w:hAnsi="宋体" w:cs="宋体"/>
                <w:sz w:val="24"/>
              </w:rPr>
            </w:pPr>
            <w:r>
              <w:rPr>
                <w:rFonts w:hint="eastAsia" w:ascii="宋体" w:hAnsi="宋体" w:cs="宋体"/>
                <w:sz w:val="24"/>
              </w:rPr>
              <w:t>6</w:t>
            </w:r>
          </w:p>
        </w:tc>
        <w:tc>
          <w:tcPr>
            <w:tcW w:w="1328" w:type="dxa"/>
            <w:vAlign w:val="center"/>
          </w:tcPr>
          <w:p>
            <w:pPr>
              <w:pStyle w:val="78"/>
              <w:spacing w:line="357" w:lineRule="auto"/>
              <w:ind w:right="186"/>
              <w:jc w:val="center"/>
              <w:rPr>
                <w:rFonts w:ascii="宋体" w:hAnsi="宋体" w:cs="宋体"/>
                <w:sz w:val="24"/>
              </w:rPr>
            </w:pPr>
            <w:r>
              <w:rPr>
                <w:rFonts w:hint="eastAsia" w:ascii="宋体" w:hAnsi="宋体" w:cs="宋体"/>
                <w:sz w:val="24"/>
              </w:rPr>
              <w:t>响应文件的规范性</w:t>
            </w:r>
          </w:p>
          <w:p>
            <w:pPr>
              <w:pStyle w:val="78"/>
              <w:spacing w:line="357" w:lineRule="auto"/>
              <w:ind w:right="186"/>
              <w:jc w:val="center"/>
              <w:rPr>
                <w:rFonts w:ascii="宋体" w:hAnsi="宋体" w:cs="宋体"/>
                <w:sz w:val="24"/>
              </w:rPr>
            </w:pPr>
            <w:r>
              <w:rPr>
                <w:rFonts w:hint="eastAsia" w:ascii="宋体" w:hAnsi="宋体" w:cs="宋体"/>
                <w:sz w:val="24"/>
              </w:rPr>
              <w:t>（2分）</w:t>
            </w:r>
          </w:p>
        </w:tc>
        <w:tc>
          <w:tcPr>
            <w:tcW w:w="7940" w:type="dxa"/>
          </w:tcPr>
          <w:p>
            <w:pPr>
              <w:pStyle w:val="78"/>
              <w:tabs>
                <w:tab w:val="left" w:pos="350"/>
              </w:tabs>
              <w:spacing w:before="6" w:line="440" w:lineRule="exact"/>
              <w:ind w:left="108" w:firstLine="240" w:firstLineChars="100"/>
            </w:pPr>
            <w:r>
              <w:rPr>
                <w:rFonts w:hint="eastAsia"/>
                <w:sz w:val="24"/>
              </w:rPr>
              <w:t>响应文件制作规范，没有细微偏差得2分。有一项细微偏差情形的扣0.5分，直至该项分值扣完为止。无目录，无页码不得分。</w:t>
            </w:r>
          </w:p>
        </w:tc>
      </w:tr>
    </w:tbl>
    <w:p>
      <w:pPr>
        <w:rPr>
          <w:rFonts w:hAnsi="宋体" w:cs="宋体"/>
          <w:sz w:val="30"/>
          <w:szCs w:val="30"/>
        </w:rPr>
      </w:pPr>
    </w:p>
    <w:p>
      <w:pPr>
        <w:rPr>
          <w:rFonts w:hAnsi="宋体" w:cs="宋体"/>
          <w:sz w:val="30"/>
          <w:szCs w:val="30"/>
        </w:rPr>
      </w:pPr>
    </w:p>
    <w:p>
      <w:pPr>
        <w:rPr>
          <w:rFonts w:hAnsi="宋体" w:cs="宋体"/>
          <w:sz w:val="30"/>
          <w:szCs w:val="30"/>
        </w:rPr>
      </w:pPr>
    </w:p>
    <w:p>
      <w:pPr>
        <w:rPr>
          <w:rFonts w:hAnsi="宋体" w:cs="宋体"/>
          <w:sz w:val="30"/>
          <w:szCs w:val="30"/>
        </w:rPr>
      </w:pPr>
    </w:p>
    <w:p>
      <w:pPr>
        <w:ind w:firstLine="3000" w:firstLineChars="1000"/>
        <w:rPr>
          <w:rFonts w:hAnsi="宋体" w:cs="宋体"/>
          <w:sz w:val="30"/>
          <w:szCs w:val="30"/>
        </w:rPr>
      </w:pPr>
      <w:r>
        <w:rPr>
          <w:rFonts w:hint="eastAsia" w:hAnsi="宋体" w:cs="宋体"/>
          <w:sz w:val="30"/>
          <w:szCs w:val="30"/>
        </w:rPr>
        <w:t>第六章 合同主要条款</w:t>
      </w:r>
    </w:p>
    <w:p>
      <w:pPr>
        <w:ind w:firstLine="3614" w:firstLineChars="1500"/>
      </w:pPr>
      <w:r>
        <w:rPr>
          <w:rFonts w:hint="eastAsia" w:ascii="Times New Roman" w:hAnsi="宋体" w:cs="宋体"/>
          <w:b/>
          <w:bCs/>
          <w:sz w:val="24"/>
          <w:szCs w:val="24"/>
        </w:rPr>
        <w:t>（仅供参考</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rPr>
        <w:rFonts w:hAnsi="宋体"/>
      </w:rPr>
    </w:pPr>
    <w:r>
      <w:rPr>
        <w:rFonts w:hint="eastAsia" w:hAnsi="宋体"/>
      </w:rPr>
      <w:t>学生公寓智慧生活服务点供应商遴选采购项目－招标文件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mI4ODVkOTI4MDU0N2JlOTE4OWZjNjc2YmI3OWQifQ=="/>
  </w:docVars>
  <w:rsids>
    <w:rsidRoot w:val="00172A27"/>
    <w:rsid w:val="0000130C"/>
    <w:rsid w:val="0001189E"/>
    <w:rsid w:val="00013F1F"/>
    <w:rsid w:val="00015B12"/>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6D1"/>
    <w:rsid w:val="00181E14"/>
    <w:rsid w:val="00185388"/>
    <w:rsid w:val="00194319"/>
    <w:rsid w:val="001943F1"/>
    <w:rsid w:val="001A1EDF"/>
    <w:rsid w:val="001A3304"/>
    <w:rsid w:val="001C4C5D"/>
    <w:rsid w:val="001E077D"/>
    <w:rsid w:val="0021094F"/>
    <w:rsid w:val="002114B9"/>
    <w:rsid w:val="0021517F"/>
    <w:rsid w:val="00215D24"/>
    <w:rsid w:val="002222E6"/>
    <w:rsid w:val="00225FC9"/>
    <w:rsid w:val="00231CEA"/>
    <w:rsid w:val="00242F03"/>
    <w:rsid w:val="00252539"/>
    <w:rsid w:val="0025566C"/>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5599F"/>
    <w:rsid w:val="00374997"/>
    <w:rsid w:val="00376338"/>
    <w:rsid w:val="0038282C"/>
    <w:rsid w:val="00384840"/>
    <w:rsid w:val="00385E8B"/>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D29"/>
    <w:rsid w:val="0057392A"/>
    <w:rsid w:val="0057670A"/>
    <w:rsid w:val="00577163"/>
    <w:rsid w:val="0058164F"/>
    <w:rsid w:val="00581EB4"/>
    <w:rsid w:val="00587168"/>
    <w:rsid w:val="00593373"/>
    <w:rsid w:val="005A011C"/>
    <w:rsid w:val="005A1491"/>
    <w:rsid w:val="005C0690"/>
    <w:rsid w:val="005D660E"/>
    <w:rsid w:val="005D76BC"/>
    <w:rsid w:val="005F3651"/>
    <w:rsid w:val="005F6D20"/>
    <w:rsid w:val="006076D0"/>
    <w:rsid w:val="006317E0"/>
    <w:rsid w:val="0064548D"/>
    <w:rsid w:val="00667782"/>
    <w:rsid w:val="0067461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0833"/>
    <w:rsid w:val="00960E98"/>
    <w:rsid w:val="00964782"/>
    <w:rsid w:val="00983489"/>
    <w:rsid w:val="0098597A"/>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8288C"/>
    <w:rsid w:val="00A92172"/>
    <w:rsid w:val="00A9666E"/>
    <w:rsid w:val="00AA1D32"/>
    <w:rsid w:val="00AA4F6C"/>
    <w:rsid w:val="00AB1F36"/>
    <w:rsid w:val="00AE0E42"/>
    <w:rsid w:val="00AE5591"/>
    <w:rsid w:val="00B10AC3"/>
    <w:rsid w:val="00B35C4C"/>
    <w:rsid w:val="00B634A6"/>
    <w:rsid w:val="00B92137"/>
    <w:rsid w:val="00BA04EB"/>
    <w:rsid w:val="00BA1E3F"/>
    <w:rsid w:val="00BA7A4D"/>
    <w:rsid w:val="00BC4021"/>
    <w:rsid w:val="00BD2B90"/>
    <w:rsid w:val="00BE0CDD"/>
    <w:rsid w:val="00BE3EDE"/>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8705B"/>
    <w:rsid w:val="00C93064"/>
    <w:rsid w:val="00CA64F2"/>
    <w:rsid w:val="00CB1E2C"/>
    <w:rsid w:val="00CB78BD"/>
    <w:rsid w:val="00CB7B63"/>
    <w:rsid w:val="00CC5987"/>
    <w:rsid w:val="00CC6ED4"/>
    <w:rsid w:val="00CD004D"/>
    <w:rsid w:val="00CD4587"/>
    <w:rsid w:val="00CE5482"/>
    <w:rsid w:val="00D0210B"/>
    <w:rsid w:val="00D21B10"/>
    <w:rsid w:val="00D40A36"/>
    <w:rsid w:val="00D40F38"/>
    <w:rsid w:val="00D60F7C"/>
    <w:rsid w:val="00D65F48"/>
    <w:rsid w:val="00D72148"/>
    <w:rsid w:val="00D76C8E"/>
    <w:rsid w:val="00D907DF"/>
    <w:rsid w:val="00D9414E"/>
    <w:rsid w:val="00DA21B8"/>
    <w:rsid w:val="00DB3C91"/>
    <w:rsid w:val="00DC0447"/>
    <w:rsid w:val="00DC4377"/>
    <w:rsid w:val="00DC4A4A"/>
    <w:rsid w:val="00DC6D26"/>
    <w:rsid w:val="00DD2646"/>
    <w:rsid w:val="00DD26EF"/>
    <w:rsid w:val="00DE0AD4"/>
    <w:rsid w:val="00DE1B68"/>
    <w:rsid w:val="00DE4625"/>
    <w:rsid w:val="00DE761B"/>
    <w:rsid w:val="00DF6E1E"/>
    <w:rsid w:val="00E1616D"/>
    <w:rsid w:val="00E27570"/>
    <w:rsid w:val="00E34A15"/>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14C96"/>
    <w:rsid w:val="00F604E1"/>
    <w:rsid w:val="00F80326"/>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BC3B96"/>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42109"/>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98216B"/>
    <w:rsid w:val="1AA56775"/>
    <w:rsid w:val="1AAE7552"/>
    <w:rsid w:val="1ADD2620"/>
    <w:rsid w:val="1AEB73B7"/>
    <w:rsid w:val="1AED613D"/>
    <w:rsid w:val="1B4A1EFB"/>
    <w:rsid w:val="1B685A87"/>
    <w:rsid w:val="1B6C0C0A"/>
    <w:rsid w:val="1B6D668B"/>
    <w:rsid w:val="1B835BE0"/>
    <w:rsid w:val="1B933D1E"/>
    <w:rsid w:val="1BA40417"/>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5209CD"/>
    <w:rsid w:val="1E5660C5"/>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3D5B48"/>
    <w:rsid w:val="2D431C50"/>
    <w:rsid w:val="2D5A1875"/>
    <w:rsid w:val="2D5A7676"/>
    <w:rsid w:val="2D5C4D78"/>
    <w:rsid w:val="2D680B8A"/>
    <w:rsid w:val="2D6E0259"/>
    <w:rsid w:val="2D872B3B"/>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2B28BA"/>
    <w:rsid w:val="312F34BF"/>
    <w:rsid w:val="313C4D53"/>
    <w:rsid w:val="314C0871"/>
    <w:rsid w:val="31575E16"/>
    <w:rsid w:val="317503B0"/>
    <w:rsid w:val="319A2078"/>
    <w:rsid w:val="319D7376"/>
    <w:rsid w:val="31B02B14"/>
    <w:rsid w:val="320A1F29"/>
    <w:rsid w:val="320F2B2D"/>
    <w:rsid w:val="32106030"/>
    <w:rsid w:val="32424199"/>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050ABD"/>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21E40"/>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9C820BA"/>
    <w:rsid w:val="4A152119"/>
    <w:rsid w:val="4A1C3CA2"/>
    <w:rsid w:val="4A5B32E8"/>
    <w:rsid w:val="4A7346B1"/>
    <w:rsid w:val="4A7843BC"/>
    <w:rsid w:val="4A8017C9"/>
    <w:rsid w:val="4A8E6560"/>
    <w:rsid w:val="4AC12232"/>
    <w:rsid w:val="4AC72371"/>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651CDA"/>
    <w:rsid w:val="50B4121E"/>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23A07"/>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04304"/>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77"/>
    <w:unhideWhenUsed/>
    <w:qFormat/>
    <w:uiPriority w:val="0"/>
    <w:pPr>
      <w:ind w:left="420" w:leftChars="200" w:firstLine="420" w:firstLineChars="200"/>
    </w:pPr>
    <w:rPr>
      <w:rFonts w:ascii="宋体"/>
    </w:rPr>
  </w:style>
  <w:style w:type="paragraph" w:styleId="3">
    <w:name w:val="Body Text"/>
    <w:basedOn w:val="1"/>
    <w:next w:val="1"/>
    <w:qFormat/>
    <w:uiPriority w:val="0"/>
    <w:pPr>
      <w:spacing w:after="120"/>
    </w:pPr>
    <w:rPr>
      <w:rFonts w:ascii="Times New Roman"/>
    </w:rPr>
  </w:style>
  <w:style w:type="paragraph" w:styleId="7">
    <w:name w:val="Normal Indent"/>
    <w:basedOn w:val="1"/>
    <w:link w:val="32"/>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rPr>
  </w:style>
  <w:style w:type="paragraph" w:styleId="9">
    <w:name w:val="Body Text Indent"/>
    <w:basedOn w:val="1"/>
    <w:link w:val="40"/>
    <w:qFormat/>
    <w:uiPriority w:val="0"/>
    <w:pPr>
      <w:ind w:firstLine="630"/>
    </w:pPr>
    <w:rPr>
      <w:rFonts w:ascii="Times New Roman"/>
      <w:kern w:val="2"/>
      <w:sz w:val="32"/>
    </w:rPr>
  </w:style>
  <w:style w:type="paragraph" w:styleId="10">
    <w:name w:val="Plain Text"/>
    <w:basedOn w:val="1"/>
    <w:link w:val="49"/>
    <w:qFormat/>
    <w:uiPriority w:val="0"/>
    <w:rPr>
      <w:rFonts w:hAnsi="Courier New"/>
      <w:kern w:val="2"/>
      <w:sz w:val="21"/>
    </w:rPr>
  </w:style>
  <w:style w:type="paragraph" w:styleId="11">
    <w:name w:val="Body Text Indent 2"/>
    <w:basedOn w:val="1"/>
    <w:qFormat/>
    <w:uiPriority w:val="0"/>
    <w:pPr>
      <w:ind w:firstLine="630"/>
    </w:pPr>
    <w:rPr>
      <w:sz w:val="32"/>
      <w:szCs w:val="32"/>
    </w:rPr>
  </w:style>
  <w:style w:type="paragraph" w:styleId="12">
    <w:name w:val="Balloon Text"/>
    <w:basedOn w:val="1"/>
    <w:qFormat/>
    <w:uiPriority w:val="0"/>
    <w:rPr>
      <w:rFonts w:ascii="Times New Roman"/>
      <w:sz w:val="18"/>
      <w:szCs w:val="18"/>
    </w:rPr>
  </w:style>
  <w:style w:type="paragraph" w:styleId="13">
    <w:name w:val="footer"/>
    <w:basedOn w:val="1"/>
    <w:qFormat/>
    <w:uiPriority w:val="0"/>
    <w:pPr>
      <w:tabs>
        <w:tab w:val="center" w:pos="4140"/>
        <w:tab w:val="right" w:pos="8300"/>
      </w:tabs>
      <w:jc w:val="left"/>
    </w:pPr>
    <w:rPr>
      <w:sz w:val="18"/>
      <w:szCs w:val="18"/>
    </w:rPr>
  </w:style>
  <w:style w:type="paragraph" w:styleId="14">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5">
    <w:name w:val="toc 1"/>
    <w:basedOn w:val="1"/>
    <w:next w:val="1"/>
    <w:qFormat/>
    <w:uiPriority w:val="0"/>
  </w:style>
  <w:style w:type="paragraph" w:styleId="16">
    <w:name w:val="Body Text Indent 3"/>
    <w:basedOn w:val="1"/>
    <w:qFormat/>
    <w:uiPriority w:val="0"/>
    <w:pPr>
      <w:spacing w:after="120"/>
      <w:ind w:left="420" w:leftChars="200"/>
    </w:pPr>
    <w:rPr>
      <w:rFonts w:ascii="Times New Roman"/>
      <w:sz w:val="16"/>
      <w:szCs w:val="16"/>
    </w:rPr>
  </w:style>
  <w:style w:type="paragraph" w:styleId="17">
    <w:name w:val="toc 2"/>
    <w:basedOn w:val="1"/>
    <w:next w:val="1"/>
    <w:qFormat/>
    <w:uiPriority w:val="0"/>
    <w:pPr>
      <w:ind w:left="420" w:leftChars="200"/>
    </w:pPr>
    <w:rPr>
      <w:rFonts w:ascii="Times New Roman"/>
    </w:rPr>
  </w:style>
  <w:style w:type="paragraph" w:styleId="18">
    <w:name w:val="Body Text 2"/>
    <w:basedOn w:val="1"/>
    <w:qFormat/>
    <w:uiPriority w:val="0"/>
    <w:pPr>
      <w:spacing w:line="480" w:lineRule="auto"/>
    </w:pPr>
    <w:rPr>
      <w:rFonts w:ascii="Times New Roman"/>
    </w:r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9"/>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0"/>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77">
    <w:name w:val="正文首行缩进 2 字符"/>
    <w:basedOn w:val="40"/>
    <w:link w:val="2"/>
    <w:uiPriority w:val="0"/>
    <w:rPr>
      <w:rFonts w:ascii="宋体" w:hAnsi="Calibri" w:eastAsia="宋体" w:cs="Times New Roman"/>
      <w:kern w:val="2"/>
      <w:sz w:val="34"/>
      <w:lang w:val="en-US" w:eastAsia="zh-CN" w:bidi="ar-SA"/>
    </w:rPr>
  </w:style>
  <w:style w:type="paragraph" w:customStyle="1" w:styleId="78">
    <w:name w:val="Table Paragraph"/>
    <w:basedOn w:val="1"/>
    <w:qFormat/>
    <w:uiPriority w:val="1"/>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26</Pages>
  <Words>10190</Words>
  <Characters>10647</Characters>
  <Lines>91</Lines>
  <Paragraphs>25</Paragraphs>
  <TotalTime>7</TotalTime>
  <ScaleCrop>false</ScaleCrop>
  <LinksUpToDate>false</LinksUpToDate>
  <CharactersWithSpaces>10948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2015-08-20T10:29:00Z</cp:lastPrinted>
  <dcterms:modified xsi:type="dcterms:W3CDTF">2022-07-10T02:35:22Z</dcterms:modified>
  <dc:title>招标编号：SCSZ-2013-02</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E7558D7948BD46B49D504D1EAC59F27E</vt:lpwstr>
  </property>
</Properties>
</file>