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4320" w:firstLineChars="1200"/>
        <w:rPr>
          <w:rFonts w:hAnsi="宋体"/>
          <w:color w:val="000000"/>
          <w:sz w:val="36"/>
          <w:szCs w:val="36"/>
        </w:rPr>
      </w:pPr>
    </w:p>
    <w:p>
      <w:pPr>
        <w:snapToGrid w:val="0"/>
        <w:spacing w:line="360" w:lineRule="auto"/>
        <w:ind w:firstLine="720" w:firstLineChars="200"/>
        <w:rPr>
          <w:rFonts w:hAnsi="宋体"/>
          <w:sz w:val="36"/>
          <w:szCs w:val="36"/>
        </w:rPr>
      </w:pPr>
      <w:r>
        <w:rPr>
          <w:rFonts w:hint="eastAsia" w:hAnsi="宋体"/>
          <w:sz w:val="36"/>
          <w:szCs w:val="36"/>
        </w:rPr>
        <w:t>“铁小川”IP打造与铁道安全规范宣传视频制作服务</w:t>
      </w:r>
    </w:p>
    <w:p>
      <w:pPr>
        <w:pStyle w:val="27"/>
        <w:rPr>
          <w:rFonts w:hAnsi="宋体" w:eastAsia="宋体" w:cs="宋体"/>
          <w:b w:val="0"/>
          <w:bCs/>
          <w:color w:val="4F81BD" w:themeColor="accent1"/>
          <w:sz w:val="30"/>
          <w:szCs w:val="30"/>
          <w14:textFill>
            <w14:solidFill>
              <w14:schemeClr w14:val="accent1"/>
            </w14:solidFill>
          </w14:textFill>
        </w:rPr>
      </w:pPr>
      <w:r>
        <w:rPr>
          <w:rFonts w:hint="eastAsia" w:hAnsi="宋体" w:cs="宋体"/>
          <w:b w:val="0"/>
          <w:bCs/>
          <w:sz w:val="30"/>
          <w:szCs w:val="30"/>
          <w:lang w:val="en-US" w:eastAsia="zh-CN"/>
        </w:rPr>
        <w:t xml:space="preserve">                </w:t>
      </w:r>
      <w:r>
        <w:rPr>
          <w:rFonts w:hint="eastAsia" w:hAnsi="宋体" w:cs="宋体"/>
          <w:b w:val="0"/>
          <w:bCs/>
          <w:sz w:val="30"/>
          <w:szCs w:val="30"/>
        </w:rPr>
        <w:t>采购编号：</w:t>
      </w:r>
      <w:r>
        <w:rPr>
          <w:rFonts w:hint="eastAsia" w:hAnsi="宋体" w:cs="宋体"/>
          <w:b w:val="0"/>
          <w:bCs/>
          <w:sz w:val="30"/>
          <w:szCs w:val="30"/>
          <w:lang w:val="en-US" w:eastAsia="zh-CN"/>
        </w:rPr>
        <w:t>TZY-ZB-2022022</w:t>
      </w:r>
    </w:p>
    <w:p>
      <w:pPr>
        <w:snapToGrid w:val="0"/>
        <w:spacing w:line="360" w:lineRule="auto"/>
        <w:ind w:firstLine="4320" w:firstLineChars="600"/>
        <w:rPr>
          <w:rFonts w:hAnsi="宋体" w:cs="宋体"/>
          <w:bCs/>
          <w:sz w:val="72"/>
          <w:szCs w:val="72"/>
        </w:rPr>
      </w:pPr>
      <w:r>
        <w:rPr>
          <w:rFonts w:hint="eastAsia" w:hAnsi="宋体" w:cs="宋体"/>
          <w:bCs/>
          <w:sz w:val="72"/>
          <w:szCs w:val="72"/>
        </w:rPr>
        <w:t>招</w:t>
      </w:r>
    </w:p>
    <w:p>
      <w:pPr>
        <w:snapToGrid w:val="0"/>
        <w:spacing w:line="360" w:lineRule="auto"/>
        <w:jc w:val="center"/>
        <w:rPr>
          <w:rFonts w:hAnsi="宋体" w:cs="宋体"/>
          <w:bCs/>
          <w:sz w:val="18"/>
          <w:szCs w:val="18"/>
        </w:rPr>
      </w:pPr>
    </w:p>
    <w:p>
      <w:pPr>
        <w:snapToGrid w:val="0"/>
        <w:spacing w:line="360" w:lineRule="auto"/>
        <w:ind w:firstLine="4320" w:firstLineChars="600"/>
        <w:rPr>
          <w:rFonts w:hAnsi="宋体" w:cs="宋体"/>
          <w:bCs/>
          <w:sz w:val="72"/>
          <w:szCs w:val="72"/>
        </w:rPr>
      </w:pPr>
      <w:r>
        <w:rPr>
          <w:rFonts w:hint="eastAsia" w:hAnsi="宋体" w:cs="宋体"/>
          <w:bCs/>
          <w:sz w:val="72"/>
          <w:szCs w:val="72"/>
        </w:rPr>
        <w:t>标</w:t>
      </w:r>
    </w:p>
    <w:p>
      <w:pPr>
        <w:snapToGrid w:val="0"/>
        <w:spacing w:line="360" w:lineRule="auto"/>
        <w:jc w:val="center"/>
        <w:rPr>
          <w:rFonts w:hAnsi="宋体" w:cs="宋体"/>
          <w:bCs/>
          <w:sz w:val="18"/>
          <w:szCs w:val="18"/>
        </w:rPr>
      </w:pPr>
    </w:p>
    <w:p>
      <w:pPr>
        <w:snapToGrid w:val="0"/>
        <w:spacing w:line="360" w:lineRule="auto"/>
        <w:ind w:firstLine="4320" w:firstLineChars="600"/>
        <w:rPr>
          <w:rFonts w:hAnsi="宋体" w:cs="宋体"/>
          <w:bCs/>
          <w:sz w:val="72"/>
          <w:szCs w:val="72"/>
        </w:rPr>
      </w:pPr>
      <w:r>
        <w:rPr>
          <w:rFonts w:hint="eastAsia" w:hAnsi="宋体" w:cs="宋体"/>
          <w:bCs/>
          <w:sz w:val="72"/>
          <w:szCs w:val="72"/>
        </w:rPr>
        <w:t>文</w:t>
      </w:r>
    </w:p>
    <w:p>
      <w:pPr>
        <w:snapToGrid w:val="0"/>
        <w:spacing w:line="360" w:lineRule="auto"/>
        <w:jc w:val="center"/>
        <w:rPr>
          <w:rFonts w:hAnsi="宋体" w:cs="宋体"/>
          <w:bCs/>
          <w:sz w:val="18"/>
          <w:szCs w:val="18"/>
        </w:rPr>
      </w:pPr>
    </w:p>
    <w:p>
      <w:pPr>
        <w:snapToGrid w:val="0"/>
        <w:spacing w:line="360" w:lineRule="auto"/>
        <w:ind w:firstLine="4320" w:firstLineChars="600"/>
        <w:rPr>
          <w:rFonts w:hAnsi="宋体" w:cs="宋体"/>
          <w:bCs/>
          <w:sz w:val="52"/>
          <w:szCs w:val="52"/>
        </w:rPr>
      </w:pPr>
      <w:r>
        <w:rPr>
          <w:rFonts w:hint="eastAsia" w:hAnsi="宋体" w:cs="宋体"/>
          <w:bCs/>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08</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4"/>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4"/>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5</w:t>
      </w:r>
    </w:p>
    <w:p>
      <w:pPr>
        <w:pStyle w:val="14"/>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0</w:t>
      </w:r>
    </w:p>
    <w:p>
      <w:pPr>
        <w:pStyle w:val="14"/>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2</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4"/>
          <w:szCs w:val="24"/>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olor w:val="000000" w:themeColor="text1"/>
          <w:sz w:val="24"/>
          <w:szCs w:val="24"/>
          <w:u w:val="single"/>
          <w14:textFill>
            <w14:solidFill>
              <w14:schemeClr w14:val="tx1"/>
            </w14:solidFill>
          </w14:textFill>
        </w:rPr>
        <w:t>“铁小川”IP打造与铁道安全规范宣传视频制作”</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9"/>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招标编号：</w:t>
      </w:r>
      <w:r>
        <w:rPr>
          <w:rFonts w:hint="eastAsia" w:ascii="宋体" w:hAnsi="宋体" w:cs="宋体"/>
          <w:b/>
          <w:sz w:val="24"/>
          <w:szCs w:val="24"/>
          <w:lang w:val="en-US" w:eastAsia="zh-CN"/>
        </w:rPr>
        <w:t>TZY-ZB-2022022</w:t>
      </w:r>
      <w:r>
        <w:rPr>
          <w:rFonts w:hint="eastAsia" w:ascii="宋体" w:hAnsi="宋体" w:cs="宋体"/>
          <w:b/>
          <w:sz w:val="24"/>
          <w:szCs w:val="24"/>
          <w:lang w:val="en-US" w:eastAsia="zh-CN"/>
        </w:rPr>
        <w:tab/>
      </w:r>
    </w:p>
    <w:p>
      <w:pPr>
        <w:pStyle w:val="9"/>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招标项目：</w:t>
      </w:r>
      <w:r>
        <w:rPr>
          <w:rFonts w:hint="eastAsia" w:hAnsi="宋体"/>
          <w:color w:val="000000" w:themeColor="text1"/>
          <w:sz w:val="24"/>
          <w:szCs w:val="24"/>
          <w:u w:val="single"/>
          <w14:textFill>
            <w14:solidFill>
              <w14:schemeClr w14:val="tx1"/>
            </w14:solidFill>
          </w14:textFill>
        </w:rPr>
        <w:t>“铁小川”IP打造与铁道安全规范宣传视频制作”</w:t>
      </w:r>
    </w:p>
    <w:p>
      <w:pPr>
        <w:pStyle w:val="9"/>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资金来源：</w:t>
      </w:r>
      <w:r>
        <w:rPr>
          <w:rFonts w:hint="eastAsia" w:hAnsi="宋体" w:cs="宋体"/>
          <w:bCs/>
          <w:sz w:val="24"/>
          <w:szCs w:val="24"/>
        </w:rPr>
        <w:t>财政资金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b/>
          <w:sz w:val="24"/>
          <w:szCs w:val="24"/>
        </w:rPr>
      </w:pPr>
    </w:p>
    <w:p>
      <w:pPr>
        <w:snapToGrid w:val="0"/>
        <w:spacing w:line="360" w:lineRule="auto"/>
        <w:ind w:firstLine="477" w:firstLineChars="199"/>
        <w:rPr>
          <w:rFonts w:hAnsi="宋体" w:cs="宋体"/>
          <w:sz w:val="24"/>
          <w:szCs w:val="24"/>
        </w:rPr>
      </w:pPr>
      <w:r>
        <w:rPr>
          <w:rFonts w:hint="eastAsia" w:hAnsi="宋体" w:cs="宋体"/>
          <w:b w:val="0"/>
          <w:bCs/>
          <w:sz w:val="24"/>
          <w:szCs w:val="24"/>
        </w:rPr>
        <w:t>六、投标截止时间和开标时间：</w:t>
      </w:r>
      <w:r>
        <w:rPr>
          <w:rFonts w:hint="eastAsia" w:hAnsi="宋体" w:cs="宋体"/>
          <w:b w:val="0"/>
          <w:bCs/>
          <w:color w:val="000000" w:themeColor="text1"/>
          <w:sz w:val="24"/>
          <w:szCs w:val="24"/>
          <w14:textFill>
            <w14:solidFill>
              <w14:schemeClr w14:val="tx1"/>
            </w14:solidFill>
          </w14:textFill>
        </w:rPr>
        <w:t>2022 年 08月</w:t>
      </w:r>
      <w:r>
        <w:rPr>
          <w:rFonts w:hint="eastAsia" w:hAnsi="宋体" w:cs="宋体"/>
          <w:b w:val="0"/>
          <w:bCs/>
          <w:color w:val="000000" w:themeColor="text1"/>
          <w:sz w:val="24"/>
          <w:szCs w:val="24"/>
          <w:lang w:val="en-US" w:eastAsia="zh-CN"/>
          <w14:textFill>
            <w14:solidFill>
              <w14:schemeClr w14:val="tx1"/>
            </w14:solidFill>
          </w14:textFill>
        </w:rPr>
        <w:t>26</w:t>
      </w:r>
      <w:r>
        <w:rPr>
          <w:rFonts w:hint="eastAsia" w:hAnsi="宋体" w:cs="宋体"/>
          <w:b w:val="0"/>
          <w:bCs/>
          <w:color w:val="000000" w:themeColor="text1"/>
          <w:sz w:val="24"/>
          <w:szCs w:val="24"/>
          <w14:textFill>
            <w14:solidFill>
              <w14:schemeClr w14:val="tx1"/>
            </w14:solidFill>
          </w14:textFill>
        </w:rPr>
        <w:t>日 1</w:t>
      </w:r>
      <w:r>
        <w:rPr>
          <w:rFonts w:hint="eastAsia" w:hAnsi="宋体" w:cs="宋体"/>
          <w:b w:val="0"/>
          <w:bCs/>
          <w:color w:val="000000" w:themeColor="text1"/>
          <w:sz w:val="24"/>
          <w:szCs w:val="24"/>
          <w:lang w:val="en-US" w:eastAsia="zh-CN"/>
          <w14:textFill>
            <w14:solidFill>
              <w14:schemeClr w14:val="tx1"/>
            </w14:solidFill>
          </w14:textFill>
        </w:rPr>
        <w:t>0</w:t>
      </w:r>
      <w:r>
        <w:rPr>
          <w:rFonts w:hint="eastAsia" w:hAnsi="宋体" w:cs="宋体"/>
          <w:b w:val="0"/>
          <w:bCs/>
          <w:color w:val="000000" w:themeColor="text1"/>
          <w:sz w:val="24"/>
          <w:szCs w:val="24"/>
          <w14:textFill>
            <w14:solidFill>
              <w14:schemeClr w14:val="tx1"/>
            </w14:solidFill>
          </w14:textFill>
        </w:rPr>
        <w:t>:00（北京时间）。</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投标文件必须在投标截止时间前送达开标地点，并签到</w:t>
      </w:r>
      <w:r>
        <w:rPr>
          <w:rFonts w:hint="eastAsia" w:ascii="宋体" w:hAnsi="宋体" w:cs="宋体"/>
          <w:color w:val="000000" w:themeColor="text1"/>
          <w:sz w:val="24"/>
          <w:szCs w:val="24"/>
          <w14:textFill>
            <w14:solidFill>
              <w14:schemeClr w14:val="tx1"/>
            </w14:solidFill>
          </w14:textFill>
        </w:rPr>
        <w:t>（签到地点：</w:t>
      </w:r>
      <w:r>
        <w:rPr>
          <w:rFonts w:hint="eastAsia" w:hAnsi="宋体" w:cs="宋体"/>
          <w:color w:val="000000" w:themeColor="text1"/>
          <w:sz w:val="24"/>
          <w14:textFill>
            <w14:solidFill>
              <w14:schemeClr w14:val="tx1"/>
            </w14:solidFill>
          </w14:textFill>
        </w:rPr>
        <w:t>四川成都郫</w:t>
      </w:r>
      <w:r>
        <w:rPr>
          <w:rFonts w:hint="eastAsia" w:hAnsi="宋体" w:cs="宋体"/>
          <w:color w:val="000000" w:themeColor="text1"/>
          <w:sz w:val="24"/>
          <w:lang w:val="en-US" w:eastAsia="zh-CN"/>
          <w14:textFill>
            <w14:solidFill>
              <w14:schemeClr w14:val="tx1"/>
            </w14:solidFill>
          </w14:textFill>
        </w:rPr>
        <w:t>都区</w:t>
      </w:r>
      <w:r>
        <w:rPr>
          <w:rFonts w:hint="eastAsia" w:hAnsi="宋体" w:cs="宋体"/>
          <w:color w:val="000000" w:themeColor="text1"/>
          <w:sz w:val="24"/>
          <w14:textFill>
            <w14:solidFill>
              <w14:schemeClr w14:val="tx1"/>
            </w14:solidFill>
          </w14:textFill>
        </w:rPr>
        <w:t>安德</w:t>
      </w:r>
      <w:r>
        <w:rPr>
          <w:rFonts w:hint="eastAsia" w:hAnsi="宋体" w:cs="宋体"/>
          <w:color w:val="000000" w:themeColor="text1"/>
          <w:sz w:val="24"/>
          <w:lang w:val="en-US" w:eastAsia="zh-CN"/>
          <w14:textFill>
            <w14:solidFill>
              <w14:schemeClr w14:val="tx1"/>
            </w14:solidFill>
          </w14:textFill>
        </w:rPr>
        <w:t>街道</w:t>
      </w:r>
      <w:r>
        <w:rPr>
          <w:rFonts w:hint="eastAsia" w:hAnsi="宋体" w:cs="宋体"/>
          <w:color w:val="000000" w:themeColor="text1"/>
          <w:sz w:val="24"/>
          <w14:textFill>
            <w14:solidFill>
              <w14:schemeClr w14:val="tx1"/>
            </w14:solidFill>
          </w14:textFill>
        </w:rPr>
        <w:t>彭温路399号</w:t>
      </w:r>
      <w:r>
        <w:rPr>
          <w:rFonts w:hint="eastAsia" w:hAnsi="宋体" w:cs="宋体"/>
          <w:color w:val="000000" w:themeColor="text1"/>
          <w:sz w:val="24"/>
          <w:lang w:val="en-US" w:eastAsia="zh-CN"/>
          <w14:textFill>
            <w14:solidFill>
              <w14:schemeClr w14:val="tx1"/>
            </w14:solidFill>
          </w14:textFill>
        </w:rPr>
        <w:t>四川铁道职业学院</w:t>
      </w:r>
      <w:r>
        <w:rPr>
          <w:rFonts w:hint="eastAsia" w:hAnsi="宋体" w:cs="宋体"/>
          <w:color w:val="000000" w:themeColor="text1"/>
          <w:sz w:val="24"/>
          <w14:textFill>
            <w14:solidFill>
              <w14:schemeClr w14:val="tx1"/>
            </w14:solidFill>
          </w14:textFill>
        </w:rPr>
        <w:t>后勤基建办公区2F开标室</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9"/>
        <w:snapToGrid w:val="0"/>
        <w:spacing w:line="360" w:lineRule="auto"/>
        <w:ind w:firstLine="482" w:firstLineChars="200"/>
        <w:rPr>
          <w:rFonts w:hAnsi="宋体" w:cs="宋体"/>
          <w:b/>
          <w:bCs/>
          <w:sz w:val="24"/>
          <w:szCs w:val="24"/>
        </w:rPr>
      </w:pPr>
    </w:p>
    <w:p>
      <w:pPr>
        <w:pStyle w:val="9"/>
        <w:snapToGrid w:val="0"/>
        <w:spacing w:line="360" w:lineRule="auto"/>
        <w:ind w:firstLine="482" w:firstLineChars="200"/>
        <w:rPr>
          <w:rFonts w:ascii="宋体" w:hAnsi="宋体" w:cs="宋体"/>
          <w:color w:val="4F81BD" w:themeColor="accent1"/>
          <w:sz w:val="24"/>
          <w:szCs w:val="24"/>
          <w14:textFill>
            <w14:solidFill>
              <w14:schemeClr w14:val="accent1"/>
            </w14:solidFill>
          </w14:textFill>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color w:val="000000" w:themeColor="text1"/>
          <w:sz w:val="24"/>
          <w14:textFill>
            <w14:solidFill>
              <w14:schemeClr w14:val="tx1"/>
            </w14:solidFill>
          </w14:textFill>
        </w:rPr>
        <w:t>四川成都郫</w:t>
      </w:r>
      <w:r>
        <w:rPr>
          <w:rFonts w:hint="eastAsia" w:hAnsi="宋体" w:cs="宋体"/>
          <w:color w:val="000000" w:themeColor="text1"/>
          <w:sz w:val="24"/>
          <w:lang w:val="en-US" w:eastAsia="zh-CN"/>
          <w14:textFill>
            <w14:solidFill>
              <w14:schemeClr w14:val="tx1"/>
            </w14:solidFill>
          </w14:textFill>
        </w:rPr>
        <w:t>都区</w:t>
      </w:r>
      <w:r>
        <w:rPr>
          <w:rFonts w:hint="eastAsia" w:hAnsi="宋体" w:cs="宋体"/>
          <w:color w:val="000000" w:themeColor="text1"/>
          <w:sz w:val="24"/>
          <w14:textFill>
            <w14:solidFill>
              <w14:schemeClr w14:val="tx1"/>
            </w14:solidFill>
          </w14:textFill>
        </w:rPr>
        <w:t>安德</w:t>
      </w:r>
      <w:r>
        <w:rPr>
          <w:rFonts w:hint="eastAsia" w:hAnsi="宋体" w:cs="宋体"/>
          <w:color w:val="000000" w:themeColor="text1"/>
          <w:sz w:val="24"/>
          <w:lang w:val="en-US" w:eastAsia="zh-CN"/>
          <w14:textFill>
            <w14:solidFill>
              <w14:schemeClr w14:val="tx1"/>
            </w14:solidFill>
          </w14:textFill>
        </w:rPr>
        <w:t>街道</w:t>
      </w:r>
      <w:r>
        <w:rPr>
          <w:rFonts w:hint="eastAsia" w:hAnsi="宋体" w:cs="宋体"/>
          <w:color w:val="000000" w:themeColor="text1"/>
          <w:sz w:val="24"/>
          <w14:textFill>
            <w14:solidFill>
              <w14:schemeClr w14:val="tx1"/>
            </w14:solidFill>
          </w14:textFill>
        </w:rPr>
        <w:t>彭温路399号</w:t>
      </w:r>
      <w:r>
        <w:rPr>
          <w:rFonts w:hint="eastAsia" w:hAnsi="宋体" w:cs="宋体"/>
          <w:color w:val="000000" w:themeColor="text1"/>
          <w:sz w:val="24"/>
          <w:lang w:val="en-US" w:eastAsia="zh-CN"/>
          <w14:textFill>
            <w14:solidFill>
              <w14:schemeClr w14:val="tx1"/>
            </w14:solidFill>
          </w14:textFill>
        </w:rPr>
        <w:t>四川铁道职业学院</w:t>
      </w:r>
      <w:r>
        <w:rPr>
          <w:rFonts w:hint="eastAsia" w:hAnsi="宋体" w:cs="宋体"/>
          <w:color w:val="000000" w:themeColor="text1"/>
          <w:sz w:val="24"/>
          <w14:textFill>
            <w14:solidFill>
              <w14:schemeClr w14:val="tx1"/>
            </w14:solidFill>
          </w14:textFill>
        </w:rPr>
        <w:t>后勤基建办公区2F开标室</w:t>
      </w:r>
    </w:p>
    <w:p>
      <w:pPr>
        <w:pStyle w:val="57"/>
        <w:snapToGrid w:val="0"/>
        <w:ind w:firstLine="479" w:firstLineChars="199"/>
        <w:rPr>
          <w:rFonts w:hAnsi="宋体" w:cs="宋体"/>
          <w:b/>
          <w:color w:val="4F81BD" w:themeColor="accent1"/>
          <w:sz w:val="24"/>
          <w:szCs w:val="24"/>
          <w14:textFill>
            <w14:solidFill>
              <w14:schemeClr w14:val="accent1"/>
            </w14:solidFill>
          </w14:textFill>
        </w:rPr>
      </w:pPr>
    </w:p>
    <w:p>
      <w:pPr>
        <w:pStyle w:val="57"/>
        <w:snapToGrid w:val="0"/>
        <w:ind w:firstLine="479" w:firstLineChars="199"/>
        <w:rPr>
          <w:rFonts w:hAnsi="宋体" w:cs="宋体"/>
          <w:b/>
          <w:sz w:val="24"/>
          <w:szCs w:val="24"/>
        </w:rPr>
      </w:pPr>
    </w:p>
    <w:p>
      <w:pPr>
        <w:pStyle w:val="57"/>
        <w:snapToGrid w:val="0"/>
        <w:ind w:firstLine="482"/>
        <w:rPr>
          <w:rFonts w:hAnsi="宋体" w:cs="宋体"/>
          <w:b/>
          <w:sz w:val="24"/>
          <w:szCs w:val="24"/>
        </w:rPr>
      </w:pPr>
      <w:r>
        <w:rPr>
          <w:rFonts w:hint="eastAsia" w:hAnsi="宋体" w:cs="宋体"/>
          <w:b/>
          <w:sz w:val="24"/>
          <w:szCs w:val="24"/>
        </w:rPr>
        <w:t>八、联系方式</w:t>
      </w:r>
    </w:p>
    <w:p>
      <w:pPr>
        <w:pStyle w:val="57"/>
        <w:snapToGrid w:val="0"/>
        <w:ind w:firstLine="0" w:firstLineChars="0"/>
        <w:rPr>
          <w:rFonts w:hAnsi="宋体" w:cs="宋体"/>
          <w:snapToGrid w:val="0"/>
          <w:sz w:val="24"/>
        </w:rPr>
      </w:pPr>
    </w:p>
    <w:p>
      <w:pPr>
        <w:pStyle w:val="57"/>
        <w:snapToGrid w:val="0"/>
        <w:ind w:firstLine="960" w:firstLineChars="400"/>
        <w:rPr>
          <w:rFonts w:hAnsi="宋体" w:cs="宋体"/>
          <w:snapToGrid w:val="0"/>
          <w:sz w:val="24"/>
        </w:rPr>
      </w:pPr>
      <w:r>
        <w:rPr>
          <w:rFonts w:hint="eastAsia" w:hAnsi="宋体" w:cs="宋体"/>
          <w:snapToGrid w:val="0"/>
          <w:sz w:val="24"/>
        </w:rPr>
        <w:t>采购人：四川铁道职业学院</w:t>
      </w:r>
    </w:p>
    <w:p>
      <w:pPr>
        <w:pStyle w:val="57"/>
        <w:snapToGrid w:val="0"/>
        <w:ind w:firstLine="960" w:firstLineChars="400"/>
        <w:rPr>
          <w:rFonts w:hAnsi="宋体" w:cs="宋体"/>
          <w:sz w:val="24"/>
          <w:highlight w:val="yellow"/>
        </w:rPr>
      </w:pPr>
      <w:r>
        <w:rPr>
          <w:rFonts w:hint="eastAsia" w:hAnsi="宋体" w:cs="宋体"/>
          <w:bCs/>
          <w:sz w:val="24"/>
        </w:rPr>
        <w:t xml:space="preserve">地址： </w:t>
      </w:r>
      <w:r>
        <w:rPr>
          <w:rFonts w:hint="eastAsia" w:hAnsi="宋体" w:cs="宋体"/>
          <w:color w:val="000000" w:themeColor="text1"/>
          <w:sz w:val="24"/>
          <w14:textFill>
            <w14:solidFill>
              <w14:schemeClr w14:val="tx1"/>
            </w14:solidFill>
          </w14:textFill>
        </w:rPr>
        <w:t>四川成都郫</w:t>
      </w:r>
      <w:r>
        <w:rPr>
          <w:rFonts w:hint="eastAsia" w:hAnsi="宋体" w:cs="宋体"/>
          <w:color w:val="000000" w:themeColor="text1"/>
          <w:sz w:val="24"/>
          <w:lang w:val="en-US" w:eastAsia="zh-CN"/>
          <w14:textFill>
            <w14:solidFill>
              <w14:schemeClr w14:val="tx1"/>
            </w14:solidFill>
          </w14:textFill>
        </w:rPr>
        <w:t>都区</w:t>
      </w:r>
      <w:r>
        <w:rPr>
          <w:rFonts w:hint="eastAsia" w:hAnsi="宋体" w:cs="宋体"/>
          <w:color w:val="000000" w:themeColor="text1"/>
          <w:sz w:val="24"/>
          <w14:textFill>
            <w14:solidFill>
              <w14:schemeClr w14:val="tx1"/>
            </w14:solidFill>
          </w14:textFill>
        </w:rPr>
        <w:t>安德</w:t>
      </w:r>
      <w:r>
        <w:rPr>
          <w:rFonts w:hint="eastAsia" w:hAnsi="宋体" w:cs="宋体"/>
          <w:color w:val="000000" w:themeColor="text1"/>
          <w:sz w:val="24"/>
          <w:lang w:val="en-US" w:eastAsia="zh-CN"/>
          <w14:textFill>
            <w14:solidFill>
              <w14:schemeClr w14:val="tx1"/>
            </w14:solidFill>
          </w14:textFill>
        </w:rPr>
        <w:t>街道</w:t>
      </w:r>
      <w:r>
        <w:rPr>
          <w:rFonts w:hint="eastAsia" w:hAnsi="宋体" w:cs="宋体"/>
          <w:color w:val="000000" w:themeColor="text1"/>
          <w:sz w:val="24"/>
          <w14:textFill>
            <w14:solidFill>
              <w14:schemeClr w14:val="tx1"/>
            </w14:solidFill>
          </w14:textFill>
        </w:rPr>
        <w:t>彭温路399号</w:t>
      </w:r>
    </w:p>
    <w:p>
      <w:pPr>
        <w:pStyle w:val="57"/>
        <w:snapToGrid w:val="0"/>
        <w:ind w:firstLine="919" w:firstLineChars="383"/>
        <w:rPr>
          <w:rFonts w:hAnsi="宋体" w:cs="宋体"/>
          <w:sz w:val="24"/>
        </w:rPr>
      </w:pPr>
      <w:r>
        <w:rPr>
          <w:rFonts w:hint="eastAsia" w:hAnsi="宋体" w:cs="宋体"/>
          <w:sz w:val="24"/>
        </w:rPr>
        <w:t>联系人：贺老师 、</w:t>
      </w:r>
      <w:r>
        <w:rPr>
          <w:rFonts w:hint="eastAsia" w:hAnsi="宋体" w:cs="宋体"/>
          <w:sz w:val="24"/>
          <w:lang w:val="en-US" w:eastAsia="zh-CN"/>
        </w:rPr>
        <w:t>董</w:t>
      </w:r>
      <w:r>
        <w:rPr>
          <w:rFonts w:hint="eastAsia" w:hAnsi="宋体" w:cs="宋体"/>
          <w:sz w:val="24"/>
        </w:rPr>
        <w:t xml:space="preserve">老师  </w:t>
      </w:r>
    </w:p>
    <w:p>
      <w:pPr>
        <w:pStyle w:val="57"/>
        <w:snapToGrid w:val="0"/>
        <w:ind w:firstLine="919" w:firstLineChars="383"/>
        <w:rPr>
          <w:rFonts w:hAnsi="宋体" w:cs="宋体"/>
          <w:sz w:val="24"/>
        </w:rPr>
      </w:pPr>
      <w:r>
        <w:rPr>
          <w:rFonts w:hint="eastAsia" w:hAnsi="宋体" w:cs="宋体"/>
          <w:sz w:val="24"/>
        </w:rPr>
        <w:t>联系电话：028-6893</w:t>
      </w:r>
      <w:r>
        <w:rPr>
          <w:rFonts w:hint="eastAsia" w:hAnsi="宋体" w:cs="宋体"/>
          <w:sz w:val="24"/>
          <w:lang w:val="en-US" w:eastAsia="zh-CN"/>
        </w:rPr>
        <w:t>9875</w:t>
      </w:r>
      <w:r>
        <w:rPr>
          <w:rFonts w:hint="eastAsia" w:hAnsi="宋体" w:cs="宋体"/>
          <w:sz w:val="24"/>
        </w:rPr>
        <w:t xml:space="preserve"> </w:t>
      </w:r>
    </w:p>
    <w:p>
      <w:pPr>
        <w:pStyle w:val="57"/>
        <w:snapToGrid w:val="0"/>
        <w:ind w:firstLine="919" w:firstLineChars="383"/>
        <w:rPr>
          <w:rFonts w:hAnsi="宋体"/>
          <w:sz w:val="24"/>
          <w:szCs w:val="28"/>
        </w:rPr>
      </w:pPr>
      <w:r>
        <w:rPr>
          <w:rFonts w:hint="eastAsia" w:hAnsi="宋体" w:cs="宋体"/>
          <w:sz w:val="24"/>
        </w:rPr>
        <w:tab/>
      </w:r>
    </w:p>
    <w:p>
      <w:pPr>
        <w:pStyle w:val="18"/>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496267"/>
      <w:bookmarkStart w:id="6" w:name="_Toc213396759"/>
      <w:bookmarkStart w:id="7" w:name="_Toc213397009"/>
      <w:bookmarkStart w:id="8" w:name="_Toc358883242"/>
      <w:bookmarkStart w:id="9" w:name="_Toc217446031"/>
      <w:bookmarkStart w:id="10" w:name="_Toc213396945"/>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760"/>
      <w:bookmarkStart w:id="12" w:name="_Toc213496268"/>
      <w:bookmarkStart w:id="13" w:name="_Toc213396946"/>
      <w:bookmarkStart w:id="14" w:name="_Toc189727030"/>
      <w:bookmarkStart w:id="15" w:name="_Toc213397010"/>
      <w:bookmarkStart w:id="16" w:name="_Toc217446032"/>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w:t>
            </w:r>
            <w:r>
              <w:rPr>
                <w:rFonts w:hint="eastAsia"/>
                <w:lang w:val="en-US" w:eastAsia="zh-CN"/>
              </w:rPr>
              <w:t>都区</w:t>
            </w:r>
            <w:r>
              <w:rPr>
                <w:rFonts w:hint="eastAsia"/>
              </w:rPr>
              <w:t>安德</w:t>
            </w:r>
            <w:r>
              <w:rPr>
                <w:rFonts w:hint="eastAsia"/>
                <w:lang w:val="en-US" w:eastAsia="zh-CN"/>
              </w:rPr>
              <w:t>街道</w:t>
            </w:r>
            <w:r>
              <w:rPr>
                <w:rFonts w:hint="eastAsia"/>
              </w:rPr>
              <w:t>彭温路399号</w:t>
            </w:r>
          </w:p>
          <w:p>
            <w:pPr>
              <w:pStyle w:val="59"/>
              <w:snapToGrid w:val="0"/>
              <w:spacing w:line="360" w:lineRule="auto"/>
              <w:ind w:firstLine="240" w:firstLineChars="100"/>
              <w:rPr>
                <w:lang w:val="zh-CN"/>
              </w:rPr>
            </w:pPr>
            <w:r>
              <w:rPr>
                <w:rFonts w:hint="eastAsia"/>
                <w:lang w:val="zh-CN"/>
              </w:rPr>
              <w:t xml:space="preserve">联 系 人：贺老师、 </w:t>
            </w:r>
            <w:r>
              <w:rPr>
                <w:rFonts w:hint="eastAsia"/>
                <w:lang w:val="en-US" w:eastAsia="zh-CN"/>
              </w:rPr>
              <w:t>董</w:t>
            </w:r>
            <w:r>
              <w:rPr>
                <w:rFonts w:hint="eastAsia"/>
                <w:lang w:val="zh-CN"/>
              </w:rPr>
              <w:t>老师</w:t>
            </w:r>
          </w:p>
          <w:p>
            <w:pPr>
              <w:pStyle w:val="59"/>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w:t>
            </w:r>
            <w:r>
              <w:rPr>
                <w:rFonts w:hint="eastAsia"/>
                <w:lang w:val="en-US" w:eastAsia="zh-CN"/>
              </w:rPr>
              <w:t>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3"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snapToGrid w:val="0"/>
              <w:spacing w:line="360" w:lineRule="auto"/>
              <w:jc w:val="left"/>
              <w:rPr>
                <w:lang w:val="zh-CN"/>
              </w:rPr>
            </w:pPr>
            <w:r>
              <w:rPr>
                <w:rFonts w:hint="eastAsia" w:hAnsi="宋体"/>
                <w:color w:val="000000" w:themeColor="text1"/>
                <w:sz w:val="24"/>
                <w:szCs w:val="24"/>
                <w14:textFill>
                  <w14:solidFill>
                    <w14:schemeClr w14:val="tx1"/>
                  </w14:solidFill>
                </w14:textFill>
              </w:rPr>
              <w:t>“铁小川”IP打造与铁道安全规范宣传视频制作服务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rPr>
                <w:rFonts w:hint="default" w:eastAsia="宋体"/>
                <w:lang w:val="en-US" w:eastAsia="zh-CN"/>
              </w:rPr>
            </w:pPr>
            <w:r>
              <w:rPr>
                <w:rFonts w:hint="eastAsia"/>
                <w:lang w:val="en-US" w:eastAsia="zh-CN"/>
              </w:rPr>
              <w:t>TZY-ZB-2022022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color w:val="000000" w:themeColor="text1"/>
                <w14:textFill>
                  <w14:solidFill>
                    <w14:schemeClr w14:val="tx1"/>
                  </w14:solidFill>
                </w14:textFill>
              </w:rPr>
              <w:t>5万元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color w:val="000000" w:themeColor="text1"/>
                <w:highlight w:val="yellow"/>
                <w:lang w:val="zh-CN"/>
                <w14:textFill>
                  <w14:solidFill>
                    <w14:schemeClr w14:val="tx1"/>
                  </w14:solidFill>
                </w14:textFill>
              </w:rPr>
            </w:pPr>
            <w:r>
              <w:rPr>
                <w:rFonts w:hint="eastAsia"/>
                <w:color w:val="000000" w:themeColor="text1"/>
                <w:lang w:val="zh-CN"/>
                <w14:textFill>
                  <w14:solidFill>
                    <w14:schemeClr w14:val="tx1"/>
                  </w14:solidFill>
                </w14:textFill>
              </w:rPr>
              <w:t>时间：</w:t>
            </w:r>
            <w:r>
              <w:rPr>
                <w:rFonts w:hint="eastAsia"/>
                <w:color w:val="000000" w:themeColor="text1"/>
                <w14:textFill>
                  <w14:solidFill>
                    <w14:schemeClr w14:val="tx1"/>
                  </w14:solidFill>
                </w14:textFill>
              </w:rPr>
              <w:t xml:space="preserve">2022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8月</w:t>
            </w:r>
            <w:r>
              <w:rPr>
                <w:rFonts w:hint="eastAsia"/>
                <w:color w:val="000000" w:themeColor="text1"/>
                <w:lang w:val="en-US" w:eastAsia="zh-CN"/>
                <w14:textFill>
                  <w14:solidFill>
                    <w14:schemeClr w14:val="tx1"/>
                  </w14:solidFill>
                </w14:textFill>
              </w:rPr>
              <w:t xml:space="preserve"> 26 </w:t>
            </w:r>
            <w:r>
              <w:rPr>
                <w:rFonts w:hint="eastAsia"/>
                <w:color w:val="000000" w:themeColor="text1"/>
                <w:lang w:val="zh-CN"/>
                <w14:textFill>
                  <w14:solidFill>
                    <w14:schemeClr w14:val="tx1"/>
                  </w14:solidFill>
                </w14:textFill>
              </w:rPr>
              <w:t>日</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:00</w:t>
            </w:r>
            <w:r>
              <w:rPr>
                <w:rFonts w:hint="eastAsia"/>
                <w:color w:val="000000" w:themeColor="text1"/>
                <w:lang w:val="zh-CN"/>
                <w14:textFill>
                  <w14:solidFill>
                    <w14:schemeClr w14:val="tx1"/>
                  </w14:solidFill>
                </w14:textFill>
              </w:rPr>
              <w:t>（北京时间）</w:t>
            </w:r>
          </w:p>
          <w:p>
            <w:pPr>
              <w:pStyle w:val="59"/>
              <w:snapToGrid w:val="0"/>
              <w:spacing w:line="360" w:lineRule="auto"/>
              <w:ind w:firstLine="240" w:firstLineChars="100"/>
            </w:pPr>
            <w:r>
              <w:rPr>
                <w:rFonts w:hint="eastAsia"/>
                <w:color w:val="000000" w:themeColor="text1"/>
                <w:lang w:val="zh-CN"/>
                <w14:textFill>
                  <w14:solidFill>
                    <w14:schemeClr w14:val="tx1"/>
                  </w14:solidFill>
                </w14:textFill>
              </w:rPr>
              <w:t>地点：</w:t>
            </w:r>
            <w:r>
              <w:rPr>
                <w:rFonts w:hint="eastAsia"/>
                <w:color w:val="000000" w:themeColor="text1"/>
                <w14:textFill>
                  <w14:solidFill>
                    <w14:schemeClr w14:val="tx1"/>
                  </w14:solidFill>
                </w14:textFill>
              </w:rPr>
              <w:t>四川成都郫</w:t>
            </w:r>
            <w:r>
              <w:rPr>
                <w:rFonts w:hint="eastAsia"/>
                <w:color w:val="000000" w:themeColor="text1"/>
                <w:lang w:val="en-US" w:eastAsia="zh-CN"/>
                <w14:textFill>
                  <w14:solidFill>
                    <w14:schemeClr w14:val="tx1"/>
                  </w14:solidFill>
                </w14:textFill>
              </w:rPr>
              <w:t>都区</w:t>
            </w:r>
            <w:r>
              <w:rPr>
                <w:rFonts w:hint="eastAsia"/>
                <w:color w:val="000000" w:themeColor="text1"/>
                <w14:textFill>
                  <w14:solidFill>
                    <w14:schemeClr w14:val="tx1"/>
                  </w14:solidFill>
                </w14:textFill>
              </w:rPr>
              <w:t>安德</w:t>
            </w:r>
            <w:r>
              <w:rPr>
                <w:rFonts w:hint="eastAsia"/>
                <w:color w:val="000000" w:themeColor="text1"/>
                <w:lang w:val="en-US" w:eastAsia="zh-CN"/>
                <w14:textFill>
                  <w14:solidFill>
                    <w14:schemeClr w14:val="tx1"/>
                  </w14:solidFill>
                </w14:textFill>
              </w:rPr>
              <w:t>街道</w:t>
            </w:r>
            <w:r>
              <w:rPr>
                <w:rFonts w:hint="eastAsia"/>
                <w:color w:val="000000" w:themeColor="text1"/>
                <w14:textFill>
                  <w14:solidFill>
                    <w14:schemeClr w14:val="tx1"/>
                  </w14:solidFill>
                </w14:textFill>
              </w:rPr>
              <w:t>彭温路399号后勤基建办公区2F开标室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582209"/>
      <w:bookmarkStart w:id="18" w:name="_Toc217446038"/>
      <w:bookmarkStart w:id="19" w:name="_Toc89075875"/>
      <w:bookmarkStart w:id="20" w:name="_Toc77400779"/>
      <w:bookmarkStart w:id="21" w:name="_Toc183682346"/>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217446039"/>
      <w:bookmarkStart w:id="23" w:name="_Toc183582210"/>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682351"/>
      <w:bookmarkStart w:id="29" w:name="_Toc217446042"/>
      <w:bookmarkStart w:id="30" w:name="_Toc89075876"/>
      <w:bookmarkStart w:id="31" w:name="_Toc77400780"/>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582215"/>
      <w:bookmarkStart w:id="34" w:name="_Toc217446043"/>
      <w:bookmarkStart w:id="35" w:name="_Toc183682352"/>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682354"/>
      <w:bookmarkStart w:id="39" w:name="_Toc217446048"/>
      <w:bookmarkStart w:id="40" w:name="_Toc183582217"/>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9"/>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9"/>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9"/>
        <w:snapToGrid w:val="0"/>
        <w:spacing w:line="360" w:lineRule="auto"/>
        <w:ind w:firstLine="360" w:firstLineChars="150"/>
        <w:rPr>
          <w:rFonts w:hint="eastAsia" w:ascii="宋体" w:hAnsi="宋体" w:cs="宋体"/>
          <w:sz w:val="24"/>
          <w:szCs w:val="24"/>
        </w:rPr>
      </w:pPr>
      <w:r>
        <w:rPr>
          <w:rFonts w:hint="eastAsia" w:ascii="宋体" w:hAnsi="宋体" w:cs="宋体"/>
          <w:sz w:val="24"/>
          <w:szCs w:val="24"/>
        </w:rPr>
        <w:t>（4）投标产品技术参数表。</w:t>
      </w:r>
    </w:p>
    <w:p>
      <w:pPr>
        <w:pStyle w:val="9"/>
        <w:snapToGrid w:val="0"/>
        <w:spacing w:line="360" w:lineRule="auto"/>
        <w:ind w:firstLine="360" w:firstLineChars="15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具体细则，请以具体要求为准。</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89075877"/>
      <w:bookmarkStart w:id="50" w:name="_Toc77400781"/>
      <w:bookmarkStart w:id="51" w:name="_Toc183682363"/>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183582231"/>
      <w:bookmarkStart w:id="62" w:name="_Toc77400782"/>
      <w:bookmarkStart w:id="63" w:name="_Toc217446056"/>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w:t>
      </w:r>
    </w:p>
    <w:p>
      <w:pPr>
        <w:pStyle w:val="7"/>
        <w:snapToGrid w:val="0"/>
        <w:spacing w:line="360" w:lineRule="auto"/>
        <w:ind w:firstLine="160" w:firstLineChars="67"/>
        <w:rPr>
          <w:rFonts w:hAnsi="宋体" w:cs="宋体"/>
          <w:sz w:val="24"/>
        </w:rPr>
      </w:pPr>
      <w:r>
        <w:rPr>
          <w:rFonts w:hint="eastAsia" w:hAnsi="宋体" w:cs="宋体"/>
          <w:sz w:val="24"/>
        </w:rPr>
        <w:t>联系电话：028-68939874。</w:t>
      </w:r>
      <w:bookmarkStart w:id="84"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0"/>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53600"/>
      <w:bookmarkStart w:id="88" w:name="_Toc250041691"/>
      <w:bookmarkStart w:id="89" w:name="_Toc237145385"/>
      <w:bookmarkStart w:id="90" w:name="_Toc297204985"/>
      <w:bookmarkStart w:id="91" w:name="_Toc263768864"/>
      <w:bookmarkStart w:id="92" w:name="_Toc256175382"/>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3054"/>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1379" w:type="dxa"/>
            <w:vAlign w:val="center"/>
          </w:tcPr>
          <w:p>
            <w:pPr>
              <w:snapToGri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类别</w:t>
            </w:r>
          </w:p>
        </w:tc>
        <w:tc>
          <w:tcPr>
            <w:tcW w:w="3054" w:type="dxa"/>
            <w:vAlign w:val="center"/>
          </w:tcPr>
          <w:p>
            <w:pPr>
              <w:snapToGri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内容</w:t>
            </w:r>
          </w:p>
        </w:tc>
        <w:tc>
          <w:tcPr>
            <w:tcW w:w="789" w:type="dxa"/>
            <w:vAlign w:val="center"/>
          </w:tcPr>
          <w:p>
            <w:pPr>
              <w:snapToGri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数量</w:t>
            </w:r>
          </w:p>
        </w:tc>
        <w:tc>
          <w:tcPr>
            <w:tcW w:w="788" w:type="dxa"/>
            <w:vAlign w:val="center"/>
          </w:tcPr>
          <w:p>
            <w:pPr>
              <w:snapToGri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单价</w:t>
            </w:r>
          </w:p>
        </w:tc>
        <w:tc>
          <w:tcPr>
            <w:tcW w:w="1381" w:type="dxa"/>
            <w:vAlign w:val="center"/>
          </w:tcPr>
          <w:p>
            <w:pPr>
              <w:snapToGri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金额</w:t>
            </w:r>
          </w:p>
        </w:tc>
        <w:tc>
          <w:tcPr>
            <w:tcW w:w="899" w:type="dxa"/>
            <w:vAlign w:val="center"/>
          </w:tcPr>
          <w:p>
            <w:pPr>
              <w:snapToGrid w:val="0"/>
              <w:spacing w:line="360" w:lineRule="auto"/>
              <w:ind w:firstLine="120" w:firstLineChars="5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color w:val="0070C0"/>
                <w:sz w:val="24"/>
                <w:szCs w:val="24"/>
              </w:rPr>
            </w:pPr>
          </w:p>
        </w:tc>
        <w:tc>
          <w:tcPr>
            <w:tcW w:w="1379" w:type="dxa"/>
            <w:vAlign w:val="center"/>
          </w:tcPr>
          <w:p>
            <w:pPr>
              <w:snapToGrid w:val="0"/>
              <w:spacing w:line="360" w:lineRule="auto"/>
              <w:jc w:val="left"/>
              <w:rPr>
                <w:rFonts w:hAnsi="宋体" w:cs="宋体"/>
                <w:color w:val="0070C0"/>
                <w:sz w:val="24"/>
                <w:szCs w:val="24"/>
              </w:rPr>
            </w:pPr>
          </w:p>
        </w:tc>
        <w:tc>
          <w:tcPr>
            <w:tcW w:w="3054" w:type="dxa"/>
            <w:vAlign w:val="center"/>
          </w:tcPr>
          <w:p>
            <w:pPr>
              <w:snapToGrid w:val="0"/>
              <w:spacing w:line="360" w:lineRule="auto"/>
              <w:jc w:val="left"/>
              <w:rPr>
                <w:rFonts w:hAnsi="宋体" w:cs="宋体"/>
                <w:color w:val="0070C0"/>
                <w:sz w:val="24"/>
                <w:szCs w:val="24"/>
              </w:rPr>
            </w:pPr>
          </w:p>
        </w:tc>
        <w:tc>
          <w:tcPr>
            <w:tcW w:w="789" w:type="dxa"/>
            <w:vAlign w:val="center"/>
          </w:tcPr>
          <w:p>
            <w:pPr>
              <w:snapToGrid w:val="0"/>
              <w:spacing w:line="360" w:lineRule="auto"/>
              <w:jc w:val="left"/>
              <w:rPr>
                <w:rFonts w:hAnsi="宋体" w:cs="宋体"/>
                <w:color w:val="0070C0"/>
                <w:sz w:val="24"/>
                <w:szCs w:val="24"/>
              </w:rPr>
            </w:pPr>
          </w:p>
        </w:tc>
        <w:tc>
          <w:tcPr>
            <w:tcW w:w="788" w:type="dxa"/>
            <w:vAlign w:val="center"/>
          </w:tcPr>
          <w:p>
            <w:pPr>
              <w:snapToGrid w:val="0"/>
              <w:spacing w:line="360" w:lineRule="auto"/>
              <w:jc w:val="left"/>
              <w:rPr>
                <w:rFonts w:hAnsi="宋体" w:cs="宋体"/>
                <w:color w:val="0070C0"/>
                <w:sz w:val="24"/>
                <w:szCs w:val="24"/>
              </w:rPr>
            </w:pPr>
          </w:p>
        </w:tc>
        <w:tc>
          <w:tcPr>
            <w:tcW w:w="1381" w:type="dxa"/>
            <w:vAlign w:val="center"/>
          </w:tcPr>
          <w:p>
            <w:pPr>
              <w:snapToGrid w:val="0"/>
              <w:spacing w:line="360" w:lineRule="auto"/>
              <w:jc w:val="left"/>
              <w:rPr>
                <w:rFonts w:hAnsi="宋体" w:cs="宋体"/>
                <w:color w:val="0070C0"/>
                <w:sz w:val="24"/>
                <w:szCs w:val="24"/>
              </w:rPr>
            </w:pPr>
          </w:p>
        </w:tc>
        <w:tc>
          <w:tcPr>
            <w:tcW w:w="899" w:type="dxa"/>
            <w:vAlign w:val="center"/>
          </w:tcPr>
          <w:p>
            <w:pPr>
              <w:snapToGrid w:val="0"/>
              <w:spacing w:line="360" w:lineRule="auto"/>
              <w:jc w:val="left"/>
              <w:rPr>
                <w:rFonts w:hAnsi="宋体" w:cs="宋体"/>
                <w:color w:val="0070C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color w:val="0070C0"/>
                <w:sz w:val="24"/>
                <w:szCs w:val="24"/>
              </w:rPr>
            </w:pPr>
          </w:p>
        </w:tc>
        <w:tc>
          <w:tcPr>
            <w:tcW w:w="1379" w:type="dxa"/>
            <w:vAlign w:val="center"/>
          </w:tcPr>
          <w:p>
            <w:pPr>
              <w:snapToGrid w:val="0"/>
              <w:spacing w:line="360" w:lineRule="auto"/>
              <w:jc w:val="left"/>
              <w:rPr>
                <w:rFonts w:hAnsi="宋体" w:cs="宋体"/>
                <w:color w:val="0070C0"/>
                <w:sz w:val="24"/>
                <w:szCs w:val="24"/>
              </w:rPr>
            </w:pPr>
          </w:p>
        </w:tc>
        <w:tc>
          <w:tcPr>
            <w:tcW w:w="3054" w:type="dxa"/>
            <w:vAlign w:val="center"/>
          </w:tcPr>
          <w:p>
            <w:pPr>
              <w:snapToGrid w:val="0"/>
              <w:spacing w:line="360" w:lineRule="auto"/>
              <w:jc w:val="left"/>
              <w:rPr>
                <w:rFonts w:hAnsi="宋体" w:cs="宋体"/>
                <w:color w:val="0070C0"/>
                <w:sz w:val="24"/>
                <w:szCs w:val="24"/>
              </w:rPr>
            </w:pPr>
          </w:p>
        </w:tc>
        <w:tc>
          <w:tcPr>
            <w:tcW w:w="789" w:type="dxa"/>
            <w:vAlign w:val="center"/>
          </w:tcPr>
          <w:p>
            <w:pPr>
              <w:snapToGrid w:val="0"/>
              <w:spacing w:line="360" w:lineRule="auto"/>
              <w:jc w:val="left"/>
              <w:rPr>
                <w:rFonts w:hAnsi="宋体" w:cs="宋体"/>
                <w:color w:val="0070C0"/>
                <w:sz w:val="24"/>
                <w:szCs w:val="24"/>
              </w:rPr>
            </w:pPr>
          </w:p>
        </w:tc>
        <w:tc>
          <w:tcPr>
            <w:tcW w:w="788" w:type="dxa"/>
            <w:vAlign w:val="center"/>
          </w:tcPr>
          <w:p>
            <w:pPr>
              <w:snapToGrid w:val="0"/>
              <w:spacing w:line="360" w:lineRule="auto"/>
              <w:jc w:val="left"/>
              <w:rPr>
                <w:rFonts w:hAnsi="宋体" w:cs="宋体"/>
                <w:color w:val="0070C0"/>
                <w:sz w:val="24"/>
                <w:szCs w:val="24"/>
              </w:rPr>
            </w:pPr>
          </w:p>
        </w:tc>
        <w:tc>
          <w:tcPr>
            <w:tcW w:w="1381" w:type="dxa"/>
            <w:vAlign w:val="center"/>
          </w:tcPr>
          <w:p>
            <w:pPr>
              <w:snapToGrid w:val="0"/>
              <w:spacing w:line="360" w:lineRule="auto"/>
              <w:jc w:val="left"/>
              <w:rPr>
                <w:rFonts w:hAnsi="宋体" w:cs="宋体"/>
                <w:color w:val="0070C0"/>
                <w:sz w:val="24"/>
                <w:szCs w:val="24"/>
              </w:rPr>
            </w:pPr>
          </w:p>
        </w:tc>
        <w:tc>
          <w:tcPr>
            <w:tcW w:w="899" w:type="dxa"/>
            <w:vAlign w:val="center"/>
          </w:tcPr>
          <w:p>
            <w:pPr>
              <w:snapToGrid w:val="0"/>
              <w:spacing w:line="360" w:lineRule="auto"/>
              <w:jc w:val="left"/>
              <w:rPr>
                <w:rFonts w:hAnsi="宋体" w:cs="宋体"/>
                <w:color w:val="0070C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color w:val="0070C0"/>
                <w:sz w:val="24"/>
                <w:szCs w:val="24"/>
              </w:rPr>
            </w:pPr>
          </w:p>
        </w:tc>
        <w:tc>
          <w:tcPr>
            <w:tcW w:w="1379" w:type="dxa"/>
            <w:vAlign w:val="center"/>
          </w:tcPr>
          <w:p>
            <w:pPr>
              <w:snapToGrid w:val="0"/>
              <w:spacing w:line="360" w:lineRule="auto"/>
              <w:jc w:val="left"/>
              <w:rPr>
                <w:rFonts w:hAnsi="宋体" w:cs="宋体"/>
                <w:color w:val="0070C0"/>
                <w:sz w:val="24"/>
                <w:szCs w:val="24"/>
              </w:rPr>
            </w:pPr>
          </w:p>
        </w:tc>
        <w:tc>
          <w:tcPr>
            <w:tcW w:w="3054" w:type="dxa"/>
            <w:vAlign w:val="center"/>
          </w:tcPr>
          <w:p>
            <w:pPr>
              <w:snapToGrid w:val="0"/>
              <w:spacing w:line="360" w:lineRule="auto"/>
              <w:jc w:val="left"/>
              <w:rPr>
                <w:rFonts w:hAnsi="宋体" w:cs="宋体"/>
                <w:color w:val="0070C0"/>
                <w:sz w:val="24"/>
                <w:szCs w:val="24"/>
              </w:rPr>
            </w:pPr>
          </w:p>
        </w:tc>
        <w:tc>
          <w:tcPr>
            <w:tcW w:w="789" w:type="dxa"/>
            <w:vAlign w:val="center"/>
          </w:tcPr>
          <w:p>
            <w:pPr>
              <w:snapToGrid w:val="0"/>
              <w:spacing w:line="360" w:lineRule="auto"/>
              <w:jc w:val="left"/>
              <w:rPr>
                <w:rFonts w:hAnsi="宋体" w:cs="宋体"/>
                <w:color w:val="0070C0"/>
                <w:sz w:val="24"/>
                <w:szCs w:val="24"/>
              </w:rPr>
            </w:pPr>
          </w:p>
        </w:tc>
        <w:tc>
          <w:tcPr>
            <w:tcW w:w="788" w:type="dxa"/>
            <w:vAlign w:val="center"/>
          </w:tcPr>
          <w:p>
            <w:pPr>
              <w:snapToGrid w:val="0"/>
              <w:spacing w:line="360" w:lineRule="auto"/>
              <w:jc w:val="left"/>
              <w:rPr>
                <w:rFonts w:hAnsi="宋体" w:cs="宋体"/>
                <w:color w:val="0070C0"/>
                <w:sz w:val="24"/>
                <w:szCs w:val="24"/>
              </w:rPr>
            </w:pPr>
          </w:p>
        </w:tc>
        <w:tc>
          <w:tcPr>
            <w:tcW w:w="1381" w:type="dxa"/>
            <w:vAlign w:val="center"/>
          </w:tcPr>
          <w:p>
            <w:pPr>
              <w:snapToGrid w:val="0"/>
              <w:spacing w:line="360" w:lineRule="auto"/>
              <w:jc w:val="left"/>
              <w:rPr>
                <w:rFonts w:hAnsi="宋体" w:cs="宋体"/>
                <w:color w:val="0070C0"/>
                <w:sz w:val="24"/>
                <w:szCs w:val="24"/>
              </w:rPr>
            </w:pPr>
          </w:p>
        </w:tc>
        <w:tc>
          <w:tcPr>
            <w:tcW w:w="899" w:type="dxa"/>
            <w:vAlign w:val="center"/>
          </w:tcPr>
          <w:p>
            <w:pPr>
              <w:snapToGrid w:val="0"/>
              <w:spacing w:line="360" w:lineRule="auto"/>
              <w:jc w:val="left"/>
              <w:rPr>
                <w:rFonts w:hAnsi="宋体" w:cs="宋体"/>
                <w:color w:val="0070C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color w:val="0070C0"/>
                <w:sz w:val="24"/>
                <w:szCs w:val="24"/>
              </w:rPr>
            </w:pPr>
          </w:p>
        </w:tc>
        <w:tc>
          <w:tcPr>
            <w:tcW w:w="1379" w:type="dxa"/>
            <w:vAlign w:val="center"/>
          </w:tcPr>
          <w:p>
            <w:pPr>
              <w:snapToGrid w:val="0"/>
              <w:spacing w:line="360" w:lineRule="auto"/>
              <w:jc w:val="left"/>
              <w:rPr>
                <w:rFonts w:hAnsi="宋体" w:cs="宋体"/>
                <w:color w:val="0070C0"/>
                <w:sz w:val="24"/>
                <w:szCs w:val="24"/>
              </w:rPr>
            </w:pPr>
          </w:p>
        </w:tc>
        <w:tc>
          <w:tcPr>
            <w:tcW w:w="3054" w:type="dxa"/>
            <w:vAlign w:val="center"/>
          </w:tcPr>
          <w:p>
            <w:pPr>
              <w:snapToGrid w:val="0"/>
              <w:spacing w:line="360" w:lineRule="auto"/>
              <w:jc w:val="left"/>
              <w:rPr>
                <w:rFonts w:hAnsi="宋体" w:cs="宋体"/>
                <w:color w:val="0070C0"/>
                <w:sz w:val="24"/>
                <w:szCs w:val="24"/>
              </w:rPr>
            </w:pPr>
          </w:p>
        </w:tc>
        <w:tc>
          <w:tcPr>
            <w:tcW w:w="789" w:type="dxa"/>
            <w:vAlign w:val="center"/>
          </w:tcPr>
          <w:p>
            <w:pPr>
              <w:snapToGrid w:val="0"/>
              <w:spacing w:line="360" w:lineRule="auto"/>
              <w:jc w:val="left"/>
              <w:rPr>
                <w:rFonts w:hAnsi="宋体" w:cs="宋体"/>
                <w:color w:val="0070C0"/>
                <w:sz w:val="24"/>
                <w:szCs w:val="24"/>
              </w:rPr>
            </w:pPr>
          </w:p>
        </w:tc>
        <w:tc>
          <w:tcPr>
            <w:tcW w:w="788" w:type="dxa"/>
            <w:vAlign w:val="center"/>
          </w:tcPr>
          <w:p>
            <w:pPr>
              <w:snapToGrid w:val="0"/>
              <w:spacing w:line="360" w:lineRule="auto"/>
              <w:jc w:val="left"/>
              <w:rPr>
                <w:rFonts w:hAnsi="宋体" w:cs="宋体"/>
                <w:color w:val="0070C0"/>
                <w:sz w:val="24"/>
                <w:szCs w:val="24"/>
              </w:rPr>
            </w:pPr>
          </w:p>
        </w:tc>
        <w:tc>
          <w:tcPr>
            <w:tcW w:w="1381" w:type="dxa"/>
            <w:vAlign w:val="center"/>
          </w:tcPr>
          <w:p>
            <w:pPr>
              <w:snapToGrid w:val="0"/>
              <w:spacing w:line="360" w:lineRule="auto"/>
              <w:jc w:val="left"/>
              <w:rPr>
                <w:rFonts w:hAnsi="宋体" w:cs="宋体"/>
                <w:color w:val="0070C0"/>
                <w:sz w:val="24"/>
                <w:szCs w:val="24"/>
              </w:rPr>
            </w:pPr>
          </w:p>
        </w:tc>
        <w:tc>
          <w:tcPr>
            <w:tcW w:w="899" w:type="dxa"/>
            <w:vAlign w:val="center"/>
          </w:tcPr>
          <w:p>
            <w:pPr>
              <w:snapToGrid w:val="0"/>
              <w:spacing w:line="360" w:lineRule="auto"/>
              <w:jc w:val="left"/>
              <w:rPr>
                <w:rFonts w:hAnsi="宋体" w:cs="宋体"/>
                <w:color w:val="0070C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color w:val="0070C0"/>
                <w:sz w:val="24"/>
                <w:szCs w:val="24"/>
              </w:rPr>
            </w:pPr>
          </w:p>
        </w:tc>
        <w:tc>
          <w:tcPr>
            <w:tcW w:w="1379" w:type="dxa"/>
            <w:vAlign w:val="center"/>
          </w:tcPr>
          <w:p>
            <w:pPr>
              <w:snapToGrid w:val="0"/>
              <w:spacing w:line="360" w:lineRule="auto"/>
              <w:jc w:val="left"/>
              <w:rPr>
                <w:rFonts w:hAnsi="宋体" w:cs="宋体"/>
                <w:color w:val="0070C0"/>
                <w:sz w:val="24"/>
                <w:szCs w:val="24"/>
              </w:rPr>
            </w:pPr>
          </w:p>
        </w:tc>
        <w:tc>
          <w:tcPr>
            <w:tcW w:w="3054" w:type="dxa"/>
            <w:vAlign w:val="center"/>
          </w:tcPr>
          <w:p>
            <w:pPr>
              <w:snapToGrid w:val="0"/>
              <w:spacing w:line="360" w:lineRule="auto"/>
              <w:jc w:val="left"/>
              <w:rPr>
                <w:rFonts w:hAnsi="宋体" w:cs="宋体"/>
                <w:color w:val="0070C0"/>
                <w:sz w:val="24"/>
                <w:szCs w:val="24"/>
              </w:rPr>
            </w:pPr>
          </w:p>
        </w:tc>
        <w:tc>
          <w:tcPr>
            <w:tcW w:w="789" w:type="dxa"/>
            <w:vAlign w:val="center"/>
          </w:tcPr>
          <w:p>
            <w:pPr>
              <w:snapToGrid w:val="0"/>
              <w:spacing w:line="360" w:lineRule="auto"/>
              <w:jc w:val="left"/>
              <w:rPr>
                <w:rFonts w:hAnsi="宋体" w:cs="宋体"/>
                <w:color w:val="0070C0"/>
                <w:sz w:val="24"/>
                <w:szCs w:val="24"/>
              </w:rPr>
            </w:pPr>
          </w:p>
        </w:tc>
        <w:tc>
          <w:tcPr>
            <w:tcW w:w="788" w:type="dxa"/>
            <w:vAlign w:val="center"/>
          </w:tcPr>
          <w:p>
            <w:pPr>
              <w:snapToGrid w:val="0"/>
              <w:spacing w:line="360" w:lineRule="auto"/>
              <w:jc w:val="left"/>
              <w:rPr>
                <w:rFonts w:hAnsi="宋体" w:cs="宋体"/>
                <w:color w:val="0070C0"/>
                <w:sz w:val="24"/>
                <w:szCs w:val="24"/>
              </w:rPr>
            </w:pPr>
          </w:p>
        </w:tc>
        <w:tc>
          <w:tcPr>
            <w:tcW w:w="1381" w:type="dxa"/>
            <w:vAlign w:val="center"/>
          </w:tcPr>
          <w:p>
            <w:pPr>
              <w:snapToGrid w:val="0"/>
              <w:spacing w:line="360" w:lineRule="auto"/>
              <w:jc w:val="left"/>
              <w:rPr>
                <w:rFonts w:hAnsi="宋体" w:cs="宋体"/>
                <w:color w:val="0070C0"/>
                <w:sz w:val="24"/>
                <w:szCs w:val="24"/>
              </w:rPr>
            </w:pPr>
          </w:p>
        </w:tc>
        <w:tc>
          <w:tcPr>
            <w:tcW w:w="899" w:type="dxa"/>
            <w:vAlign w:val="center"/>
          </w:tcPr>
          <w:p>
            <w:pPr>
              <w:snapToGrid w:val="0"/>
              <w:spacing w:line="360" w:lineRule="auto"/>
              <w:jc w:val="left"/>
              <w:rPr>
                <w:rFonts w:hAnsi="宋体" w:cs="宋体"/>
                <w:color w:val="0070C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color w:val="0070C0"/>
                <w:sz w:val="24"/>
                <w:szCs w:val="24"/>
              </w:rPr>
            </w:pPr>
          </w:p>
        </w:tc>
        <w:tc>
          <w:tcPr>
            <w:tcW w:w="1379" w:type="dxa"/>
            <w:vAlign w:val="center"/>
          </w:tcPr>
          <w:p>
            <w:pPr>
              <w:snapToGrid w:val="0"/>
              <w:spacing w:line="360" w:lineRule="auto"/>
              <w:jc w:val="left"/>
              <w:rPr>
                <w:rFonts w:hAnsi="宋体" w:cs="宋体"/>
                <w:color w:val="0070C0"/>
                <w:sz w:val="24"/>
                <w:szCs w:val="24"/>
              </w:rPr>
            </w:pPr>
          </w:p>
        </w:tc>
        <w:tc>
          <w:tcPr>
            <w:tcW w:w="3054" w:type="dxa"/>
            <w:vAlign w:val="center"/>
          </w:tcPr>
          <w:p>
            <w:pPr>
              <w:snapToGrid w:val="0"/>
              <w:spacing w:line="360" w:lineRule="auto"/>
              <w:jc w:val="left"/>
              <w:rPr>
                <w:rFonts w:hAnsi="宋体" w:cs="宋体"/>
                <w:color w:val="0070C0"/>
                <w:sz w:val="24"/>
                <w:szCs w:val="24"/>
              </w:rPr>
            </w:pPr>
          </w:p>
        </w:tc>
        <w:tc>
          <w:tcPr>
            <w:tcW w:w="789" w:type="dxa"/>
            <w:vAlign w:val="center"/>
          </w:tcPr>
          <w:p>
            <w:pPr>
              <w:snapToGrid w:val="0"/>
              <w:spacing w:line="360" w:lineRule="auto"/>
              <w:jc w:val="left"/>
              <w:rPr>
                <w:rFonts w:hAnsi="宋体" w:cs="宋体"/>
                <w:color w:val="0070C0"/>
                <w:sz w:val="24"/>
                <w:szCs w:val="24"/>
              </w:rPr>
            </w:pPr>
          </w:p>
        </w:tc>
        <w:tc>
          <w:tcPr>
            <w:tcW w:w="788" w:type="dxa"/>
            <w:vAlign w:val="center"/>
          </w:tcPr>
          <w:p>
            <w:pPr>
              <w:snapToGrid w:val="0"/>
              <w:spacing w:line="360" w:lineRule="auto"/>
              <w:jc w:val="left"/>
              <w:rPr>
                <w:rFonts w:hAnsi="宋体" w:cs="宋体"/>
                <w:color w:val="0070C0"/>
                <w:sz w:val="24"/>
                <w:szCs w:val="24"/>
              </w:rPr>
            </w:pPr>
          </w:p>
        </w:tc>
        <w:tc>
          <w:tcPr>
            <w:tcW w:w="1381" w:type="dxa"/>
            <w:vAlign w:val="center"/>
          </w:tcPr>
          <w:p>
            <w:pPr>
              <w:snapToGrid w:val="0"/>
              <w:spacing w:line="360" w:lineRule="auto"/>
              <w:jc w:val="left"/>
              <w:rPr>
                <w:rFonts w:hAnsi="宋体" w:cs="宋体"/>
                <w:color w:val="0070C0"/>
                <w:sz w:val="24"/>
                <w:szCs w:val="24"/>
              </w:rPr>
            </w:pPr>
          </w:p>
        </w:tc>
        <w:tc>
          <w:tcPr>
            <w:tcW w:w="899" w:type="dxa"/>
            <w:vAlign w:val="center"/>
          </w:tcPr>
          <w:p>
            <w:pPr>
              <w:snapToGrid w:val="0"/>
              <w:spacing w:line="360" w:lineRule="auto"/>
              <w:jc w:val="left"/>
              <w:rPr>
                <w:rFonts w:hAnsi="宋体" w:cs="宋体"/>
                <w:color w:val="0070C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color w:val="0070C0"/>
                <w:sz w:val="24"/>
                <w:szCs w:val="24"/>
              </w:rPr>
            </w:pPr>
          </w:p>
        </w:tc>
        <w:tc>
          <w:tcPr>
            <w:tcW w:w="6010" w:type="dxa"/>
            <w:gridSpan w:val="4"/>
            <w:vAlign w:val="center"/>
          </w:tcPr>
          <w:p>
            <w:pPr>
              <w:snapToGrid w:val="0"/>
              <w:spacing w:line="360" w:lineRule="auto"/>
              <w:ind w:firstLine="600" w:firstLineChars="250"/>
              <w:jc w:val="left"/>
              <w:rPr>
                <w:rFonts w:hAnsi="宋体" w:cs="宋体"/>
                <w:color w:val="0070C0"/>
                <w:sz w:val="24"/>
                <w:szCs w:val="24"/>
              </w:rPr>
            </w:pPr>
            <w:r>
              <w:rPr>
                <w:rFonts w:hint="eastAsia" w:hAnsi="宋体" w:cs="宋体"/>
                <w:color w:val="000000" w:themeColor="text1"/>
                <w:sz w:val="24"/>
                <w:szCs w:val="24"/>
                <w14:textFill>
                  <w14:solidFill>
                    <w14:schemeClr w14:val="tx1"/>
                  </w14:solidFill>
                </w14:textFill>
              </w:rPr>
              <w:t>分项报价合计（万元）</w:t>
            </w:r>
          </w:p>
        </w:tc>
        <w:tc>
          <w:tcPr>
            <w:tcW w:w="1381" w:type="dxa"/>
            <w:vAlign w:val="center"/>
          </w:tcPr>
          <w:p>
            <w:pPr>
              <w:snapToGrid w:val="0"/>
              <w:spacing w:line="360" w:lineRule="auto"/>
              <w:jc w:val="left"/>
              <w:rPr>
                <w:rFonts w:hAnsi="宋体" w:cs="宋体"/>
                <w:color w:val="0070C0"/>
                <w:sz w:val="24"/>
                <w:szCs w:val="24"/>
              </w:rPr>
            </w:pPr>
          </w:p>
        </w:tc>
        <w:tc>
          <w:tcPr>
            <w:tcW w:w="899" w:type="dxa"/>
            <w:vAlign w:val="center"/>
          </w:tcPr>
          <w:p>
            <w:pPr>
              <w:snapToGrid w:val="0"/>
              <w:spacing w:line="360" w:lineRule="auto"/>
              <w:jc w:val="left"/>
              <w:rPr>
                <w:rFonts w:hAnsi="宋体" w:cs="宋体"/>
                <w:color w:val="0070C0"/>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w:t>
      </w:r>
      <w:r>
        <w:rPr>
          <w:rFonts w:hint="eastAsia" w:hAnsi="宋体" w:cs="宋体"/>
          <w:bCs/>
          <w:color w:val="000000" w:themeColor="text1"/>
          <w:spacing w:val="8"/>
          <w:sz w:val="24"/>
          <w:szCs w:val="24"/>
          <w14:textFill>
            <w14:solidFill>
              <w14:schemeClr w14:val="tx1"/>
            </w14:solidFill>
          </w14:textFill>
        </w:rPr>
        <w:t>类别、具体内容等</w:t>
      </w:r>
      <w:r>
        <w:rPr>
          <w:rFonts w:hint="eastAsia" w:hAnsi="宋体" w:cs="宋体"/>
          <w:bCs/>
          <w:spacing w:val="8"/>
          <w:sz w:val="24"/>
          <w:szCs w:val="24"/>
        </w:rPr>
        <w:t>，否则作无效投标处理。如产品为国家节能、环保标志清单产品也请在备注栏注明。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spacing w:line="400" w:lineRule="exact"/>
        <w:rPr>
          <w:rFonts w:hAnsi="宋体"/>
          <w:color w:val="000000"/>
          <w:sz w:val="24"/>
        </w:rPr>
      </w:pPr>
    </w:p>
    <w:p>
      <w:pPr>
        <w:spacing w:line="400" w:lineRule="exact"/>
        <w:rPr>
          <w:rFonts w:hAnsi="宋体"/>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注意：</w:t>
      </w:r>
      <w:r>
        <w:rPr>
          <w:rFonts w:hint="eastAsia" w:hAnsi="宋体"/>
          <w:color w:val="000000" w:themeColor="text1"/>
          <w:sz w:val="24"/>
          <w:szCs w:val="24"/>
          <w14:textFill>
            <w14:solidFill>
              <w14:schemeClr w14:val="tx1"/>
            </w14:solidFill>
          </w14:textFill>
        </w:rPr>
        <w:t>供应商必须如实填写，不得虚假作答，否则将取消其成交资格。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int="eastAsia" w:hAnsi="宋体" w:cs="宋体"/>
        </w:rPr>
      </w:pP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Lines="60" w:line="360" w:lineRule="auto"/>
        <w:jc w:val="center"/>
        <w:rPr>
          <w:rFonts w:hAnsi="宋体"/>
          <w:sz w:val="32"/>
          <w:szCs w:val="32"/>
        </w:rPr>
      </w:pPr>
      <w:bookmarkStart w:id="97" w:name="_Hlk42504294"/>
    </w:p>
    <w:p>
      <w:pPr>
        <w:pStyle w:val="4"/>
        <w:snapToGrid w:val="0"/>
        <w:spacing w:before="0" w:afterLines="60" w:line="360" w:lineRule="auto"/>
        <w:jc w:val="center"/>
        <w:rPr>
          <w:rFonts w:hAnsi="宋体"/>
          <w:sz w:val="32"/>
          <w:szCs w:val="32"/>
        </w:rPr>
      </w:pPr>
      <w:r>
        <w:rPr>
          <w:rFonts w:hint="eastAsia" w:hAnsi="宋体"/>
          <w:sz w:val="32"/>
          <w:szCs w:val="32"/>
        </w:rPr>
        <w:t>第四章  招标项目技术、商务及其他要求</w:t>
      </w:r>
    </w:p>
    <w:bookmarkEnd w:id="97"/>
    <w:p>
      <w:pPr>
        <w:pStyle w:val="5"/>
        <w:spacing w:before="0" w:after="0" w:line="560" w:lineRule="exact"/>
        <w:ind w:firstLine="560" w:firstLineChars="200"/>
        <w:rPr>
          <w:rFonts w:ascii="宋体" w:hAnsi="宋体" w:eastAsia="宋体"/>
          <w:b w:val="0"/>
          <w:bCs/>
          <w:sz w:val="28"/>
          <w:szCs w:val="28"/>
        </w:rPr>
      </w:pPr>
      <w:r>
        <w:rPr>
          <w:rFonts w:hint="eastAsia" w:ascii="宋体" w:hAnsi="宋体" w:eastAsia="宋体"/>
          <w:b w:val="0"/>
          <w:bCs/>
          <w:sz w:val="28"/>
          <w:szCs w:val="28"/>
        </w:rPr>
        <w:t>一、采购需求</w:t>
      </w:r>
    </w:p>
    <w:p>
      <w:pPr>
        <w:pStyle w:val="9"/>
        <w:numPr>
          <w:ilvl w:val="0"/>
          <w:numId w:val="0"/>
        </w:num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本次项目主要是</w:t>
      </w:r>
      <w:r>
        <w:rPr>
          <w:rFonts w:hint="eastAsia" w:ascii="仿宋" w:hAnsi="仿宋" w:eastAsia="仿宋" w:cs="仿宋"/>
          <w:color w:val="000000" w:themeColor="text1"/>
          <w:sz w:val="24"/>
          <w:szCs w:val="24"/>
          <w14:textFill>
            <w14:solidFill>
              <w14:schemeClr w14:val="tx1"/>
            </w14:solidFill>
          </w14:textFill>
        </w:rPr>
        <w:t>“铁小川”IP打造与铁道安全规范宣传视频制作。</w:t>
      </w:r>
      <w:r>
        <w:rPr>
          <w:rFonts w:hint="eastAsia" w:ascii="仿宋_GB2312" w:hAnsi="仿宋_GB2312" w:eastAsia="仿宋_GB2312" w:cs="仿宋_GB2312"/>
          <w:sz w:val="24"/>
          <w:szCs w:val="24"/>
        </w:rPr>
        <w:t>具体预算及需求如下：</w:t>
      </w:r>
    </w:p>
    <w:tbl>
      <w:tblPr>
        <w:tblStyle w:val="19"/>
        <w:tblW w:w="9228"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820"/>
        <w:gridCol w:w="3444"/>
        <w:gridCol w:w="93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序号</w:t>
            </w:r>
          </w:p>
        </w:tc>
        <w:tc>
          <w:tcPr>
            <w:tcW w:w="2820"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系统名称</w:t>
            </w:r>
          </w:p>
        </w:tc>
        <w:tc>
          <w:tcPr>
            <w:tcW w:w="344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服务内容</w:t>
            </w:r>
          </w:p>
        </w:tc>
        <w:tc>
          <w:tcPr>
            <w:tcW w:w="936"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数量</w:t>
            </w: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预算</w:t>
            </w:r>
          </w:p>
          <w:p>
            <w:pPr>
              <w:widowControl/>
              <w:adjustRightInd w:val="0"/>
              <w:snapToGrid w:val="0"/>
              <w:jc w:val="center"/>
              <w:rPr>
                <w:rFonts w:ascii="楷体" w:hAnsi="楷体" w:eastAsia="楷体" w:cs="楷体"/>
                <w:b/>
                <w:bCs/>
                <w:sz w:val="32"/>
                <w:szCs w:val="32"/>
              </w:rPr>
            </w:pPr>
            <w:r>
              <w:rPr>
                <w:rFonts w:hint="eastAsia" w:ascii="楷体" w:hAnsi="楷体" w:eastAsia="楷体" w:cs="楷体"/>
                <w:b/>
                <w:bCs/>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64" w:type="dxa"/>
            <w:shd w:val="clear" w:color="auto" w:fill="auto"/>
            <w:vAlign w:val="center"/>
          </w:tcPr>
          <w:p>
            <w:pPr>
              <w:widowControl/>
              <w:adjustRightInd w:val="0"/>
              <w:snapToGrid w:val="0"/>
              <w:jc w:val="center"/>
              <w:rPr>
                <w:rFonts w:ascii="楷体" w:hAnsi="楷体" w:eastAsia="楷体" w:cs="楷体"/>
                <w:sz w:val="32"/>
                <w:szCs w:val="32"/>
              </w:rPr>
            </w:pPr>
            <w:r>
              <w:rPr>
                <w:rFonts w:hint="eastAsia" w:ascii="楷体" w:hAnsi="楷体" w:eastAsia="楷体" w:cs="楷体"/>
                <w:sz w:val="32"/>
                <w:szCs w:val="32"/>
              </w:rPr>
              <w:t>1</w:t>
            </w:r>
          </w:p>
        </w:tc>
        <w:tc>
          <w:tcPr>
            <w:tcW w:w="2820" w:type="dxa"/>
            <w:shd w:val="clear" w:color="auto" w:fill="auto"/>
            <w:vAlign w:val="center"/>
          </w:tcPr>
          <w:p>
            <w:pPr>
              <w:widowControl/>
              <w:adjustRightInd w:val="0"/>
              <w:snapToGrid w:val="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“铁小川”IP打造与铁道安全规范宣传视频制作</w:t>
            </w:r>
          </w:p>
        </w:tc>
        <w:tc>
          <w:tcPr>
            <w:tcW w:w="3444" w:type="dxa"/>
            <w:shd w:val="clear" w:color="auto" w:fill="auto"/>
            <w:vAlign w:val="center"/>
          </w:tcPr>
          <w:p>
            <w:pPr>
              <w:widowControl/>
              <w:adjustRightInd w:val="0"/>
              <w:snapToGrid w:val="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从合同签订当天算起至2022年9月15日前完成视频拍摄、后期制作工作，提交成品，并协助剧本修改润色，提供1个月内后期的应用技术支持服务。提供3个月内为成片做免费的小范围修改、（不含补拍）等后续服务。 </w:t>
            </w:r>
          </w:p>
        </w:tc>
        <w:tc>
          <w:tcPr>
            <w:tcW w:w="936" w:type="dxa"/>
            <w:shd w:val="clear" w:color="auto" w:fill="auto"/>
            <w:vAlign w:val="center"/>
          </w:tcPr>
          <w:p>
            <w:pPr>
              <w:widowControl/>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5个</w:t>
            </w:r>
          </w:p>
        </w:tc>
        <w:tc>
          <w:tcPr>
            <w:tcW w:w="1464" w:type="dxa"/>
            <w:shd w:val="clear" w:color="auto" w:fill="auto"/>
            <w:vAlign w:val="center"/>
          </w:tcPr>
          <w:p>
            <w:pPr>
              <w:widowControl/>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64" w:type="dxa"/>
            <w:gridSpan w:val="4"/>
            <w:shd w:val="clear" w:color="auto" w:fill="auto"/>
            <w:vAlign w:val="center"/>
          </w:tcPr>
          <w:p>
            <w:pPr>
              <w:widowControl/>
              <w:adjustRightInd w:val="0"/>
              <w:snapToGrid w:val="0"/>
              <w:jc w:val="center"/>
              <w:rPr>
                <w:rFonts w:ascii="楷体" w:hAnsi="楷体" w:eastAsia="楷体" w:cs="楷体"/>
                <w:b/>
                <w:bCs/>
                <w:sz w:val="32"/>
                <w:szCs w:val="32"/>
              </w:rPr>
            </w:pPr>
          </w:p>
        </w:tc>
        <w:tc>
          <w:tcPr>
            <w:tcW w:w="1464" w:type="dxa"/>
            <w:shd w:val="clear" w:color="auto" w:fill="auto"/>
            <w:vAlign w:val="center"/>
          </w:tcPr>
          <w:p>
            <w:pPr>
              <w:widowControl/>
              <w:adjustRightInd w:val="0"/>
              <w:snapToGrid w:val="0"/>
              <w:jc w:val="center"/>
              <w:rPr>
                <w:rFonts w:ascii="楷体" w:hAnsi="楷体" w:eastAsia="楷体" w:cs="楷体"/>
                <w:b/>
                <w:bCs/>
                <w:sz w:val="32"/>
                <w:szCs w:val="32"/>
              </w:rPr>
            </w:pPr>
          </w:p>
        </w:tc>
      </w:tr>
    </w:tbl>
    <w:p>
      <w:pPr>
        <w:spacing w:line="560" w:lineRule="exact"/>
        <w:ind w:firstLine="562" w:firstLineChars="200"/>
        <w:outlineLvl w:val="1"/>
        <w:rPr>
          <w:rFonts w:ascii="仿宋_GB2312" w:hAnsi="仿宋_GB2312" w:eastAsia="仿宋_GB2312" w:cs="仿宋_GB2312"/>
          <w:sz w:val="28"/>
          <w:szCs w:val="28"/>
        </w:rPr>
      </w:pPr>
      <w:r>
        <w:rPr>
          <w:rFonts w:hint="eastAsia" w:hAnsi="宋体"/>
          <w:b/>
          <w:bCs/>
          <w:sz w:val="28"/>
          <w:szCs w:val="28"/>
        </w:rPr>
        <w:t>二、项目服务及技术要求</w:t>
      </w:r>
    </w:p>
    <w:p>
      <w:pPr>
        <w:spacing w:line="56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（一）服务团队</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1.制作方应具有高效稳定的专业化团队，有制作3D特效以及科普、规范讲解类视频的经验及成功案例。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2.制作方需根据实地了解情况，校方团队拍摄场地包含内江和安德校区，派遣专业的策划人员对本项目进行前期创意策划，全片力求纪实性与艺术性相结合。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制作团队应该至少包括如下人员：视频制作人、摄影师、化妆师、灯光师、后期制作人员、动画设计师、配音演员、演示演员等；制作人应能用合适的镜头语言展示课程内容，指挥摄制团队进行视频拍摄及制作。场记员，实时的记录拍摄进度、景别、时间点，拍摄内容等。</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themeColor="text1"/>
          <w:sz w:val="28"/>
          <w:szCs w:val="28"/>
          <w14:textFill>
            <w14:solidFill>
              <w14:schemeClr w14:val="tx1"/>
            </w14:solidFill>
          </w14:textFill>
        </w:rPr>
        <w:t>为相关视频制作提供咨询服务。制作方要具备丰富的剧本设计经验，能够辅助校方团队进行相关设计和内容重构。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5.内容审核。服务团队须协助校方团队指导老师严格审核视频内容，包括知识内容和思政元素的审核。审核通过后，生成最终视频成片。</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（二）拍摄准备</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themeColor="text1"/>
          <w:sz w:val="28"/>
          <w:szCs w:val="28"/>
          <w14:textFill>
            <w14:solidFill>
              <w14:schemeClr w14:val="tx1"/>
            </w14:solidFill>
          </w14:textFill>
        </w:rPr>
        <w:t>拍摄前对所有相关准备工作需充分细致与校方沟通。如需校方配合，要与负责老师深度沟通，拟定大纲。</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录制场所及拍摄方式。本项目拍摄主场地为安德校内，根据剧本要求可能会有部分校外或内江校区取景，制作方需布置拍摄环境，及时联系指导老师，确定拍摄场地和时间。能够调动录制对象情绪，以确保其在录制过程中保持最佳精神状态。</w:t>
      </w:r>
    </w:p>
    <w:p>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（三）设备要求 </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1.必须运用专业的拍摄设备和辅助及灯光设备，拍摄手段丰富，镜头运动方式多样，在视听效果上要求音乐与画面统一协调达到最佳的视听感受。 </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2.视频拍摄在录影棚以外的场景进行，拍摄现场的录音、录像等专业设备及器材亦由制作方自行解决。</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3.录像设备：使用1台或以上专业级高清2k及以上数字设备，保证设备能正常完成拍摄任务。如需多台高清摄像机保证录制，需保证效果的一致性；音频设备：收音设备：使用2个及以上个专业领夹收声设备，保证演员的录音质量。 </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4.录音设备：根据相关策划案，使用户外拍摄专业级收音话筒，保证演员声音清晰。存储设备：专业储存设备及有效容量应能保证正常完成拍摄任务。 </w:t>
      </w:r>
    </w:p>
    <w:p>
      <w:pPr>
        <w:spacing w:line="560" w:lineRule="exact"/>
        <w:ind w:firstLine="560"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（四）视频制作要求</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1.视频总体要求</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（1）视频类型可分为两类，第一类是IP展示类，主要负责“铁小川”这个IP的相关介绍与展示。第二类是铁道安全规范宣传类，主要负责铁道相关安全规范的普及以及教育。</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（2）出镜的人员要求，出镜人员如非剧情需要，需保持健康、积极、向上的外型要求，不得出现纹身、奇装异服等可能造成不良影响的现象。</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（3）如需选用影视作品或自拍素材，应注明素材来源，选用影视作品或自拍素材中涉及人物访谈内容时，应加注人物介绍。</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（4）视频特效设计时，需充分考虑受众群体的接受程度，不得出现过于血腥、暴力、色情的镜头。</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2.视频技术规格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（1）视频信号源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稳定性：全片图像同步性能稳定，无失步现象，图像无抖动跳跃，色彩无突变，编辑点处图像稳定；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色调：白平衡正确，无明显偏色，多机拍摄的镜头衔接处无明显色差；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格式：建议采用1080P。</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（2）音频信号源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声道：立体声、双声道；声音和画面同步，无明显的交流声或其他杂音等缺陷；伴音清晰、饱满、圆润，无失真、噪声杂音干扰、音量忽大忽小现象。解说声与现场声无明显比例失调，解说声与背景音乐无明显比例失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（3）视频压缩格式及技术参数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视频压缩采用H.264编码、包含字幕的MP4格式；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视频码流率：动态码流的最低码率不得低于1024Kbit/s</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视频分辨率及宽高比：视频画幅宽高比为16:9，分辨率设定为1920×1080；视频帧率为25帧/秒;</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扫描方式采用逐行扫描;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（4）音频压缩格式及技术参数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音频压缩采用AAC(MPEG4 Part3)格式；采样率48KHz；音频码流率128Kbps(恒定)。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（5）封装</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视频长度以1分钟左右为宜，最长不超过3分钟；视频采用MP4封装；字幕与视频同步封装，无须单独提交字幕文件。</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按采购方提供的视频技术要求进行视频录制，并提供承诺函原件加盖公章，否则不得分。 </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（五）项目运行推广</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themeColor="text1"/>
          <w:sz w:val="28"/>
          <w:szCs w:val="28"/>
          <w14:textFill>
            <w14:solidFill>
              <w14:schemeClr w14:val="tx1"/>
            </w14:solidFill>
          </w14:textFill>
        </w:rPr>
        <w:t>为此次采购所需视频优质技术保障，必须确保拍摄作品按时、按质、按量提交。提供承诺函原件加盖公章，否则不得分。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2.后期服务要提供3个月内为成片做免费的小范围修改</w:t>
      </w:r>
      <w:r>
        <w:rPr>
          <w:rFonts w:hint="eastAsia" w:ascii="仿宋_GB2312" w:hAnsi="仿宋_GB2312" w:eastAsia="仿宋_GB2312" w:cs="仿宋_GB2312"/>
          <w:sz w:val="28"/>
          <w:szCs w:val="28"/>
        </w:rPr>
        <w:t xml:space="preserve">（不含补拍）等后续服务。提供承诺函原件加盖公章，否则不得分。 </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（六）版权问题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1.制作方在制作时需注意成片中所使用的图片、音视频等素材的版权问题。如出现版权纠纷，所有的法律责任和经济赔偿均由制作方承担。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2.所有制作完成的视频成品，其版权归四川铁道职业学院所有，未经允许，任何单位和个人不得进行商业传播，视频制作源文件、拍摄素材也需拷贝给校方团队。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3.所有网络素材需在视频中表明出处。</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（七）其他要求</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.投标人须展示视频制作的工作进度表范例，供招标人检查督促时间进度和工作内容及质量。</w:t>
      </w:r>
    </w:p>
    <w:p>
      <w:pPr>
        <w:spacing w:line="560" w:lineRule="exact"/>
        <w:ind w:firstLine="560" w:firstLineChars="200"/>
        <w:rPr>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.中标后，制作方在2日内须要召开项目启动会，进行项目制作服务的全面对接，保证项目拍摄进度顺利进行。</w:t>
      </w:r>
    </w:p>
    <w:p>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三、商务要求</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1.服务期限：从合同签订当天算起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一个月内</w:t>
      </w:r>
      <w:r>
        <w:rPr>
          <w:rFonts w:hint="eastAsia" w:ascii="仿宋_GB2312" w:hAnsi="仿宋_GB2312" w:eastAsia="仿宋_GB2312" w:cs="仿宋_GB2312"/>
          <w:color w:val="000000" w:themeColor="text1"/>
          <w:sz w:val="28"/>
          <w:szCs w:val="28"/>
          <w14:textFill>
            <w14:solidFill>
              <w14:schemeClr w14:val="tx1"/>
            </w14:solidFill>
          </w14:textFill>
        </w:rPr>
        <w:t>完成视频拍摄、后期制作工作，提交成品，并协助剧本修改润色。</w:t>
      </w:r>
    </w:p>
    <w:p>
      <w:pPr>
        <w:pStyle w:val="2"/>
        <w:spacing w:after="0"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2.服务地点：采购人指定地点。</w:t>
      </w:r>
    </w:p>
    <w:p>
      <w:pPr>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3.付款方式：合同签订后5个工作日内，支付合同金额70%作为预付款；作品按时提交后，支付合同总金额的30%。</w:t>
      </w:r>
    </w:p>
    <w:p>
      <w:pPr>
        <w:pStyle w:val="2"/>
        <w:ind w:firstLine="56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4.验收方式</w:t>
      </w:r>
      <w:r>
        <w:rPr>
          <w:rFonts w:hint="eastAsia" w:ascii="仿宋_GB2312" w:hAnsi="仿宋_GB2312" w:eastAsia="仿宋_GB2312" w:cs="仿宋_GB2312"/>
          <w:color w:val="000000" w:themeColor="text1"/>
          <w:sz w:val="28"/>
          <w:szCs w:val="28"/>
          <w14:textFill>
            <w14:solidFill>
              <w14:schemeClr w14:val="tx1"/>
            </w14:solidFill>
          </w14:textFill>
        </w:rPr>
        <w:t>项目制作完成后，采购方将对最终成品进行验收，测试验收时间为2个工作日。</w:t>
      </w:r>
    </w:p>
    <w:p>
      <w:pPr>
        <w:pStyle w:val="2"/>
        <w:spacing w:after="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备注：带★项为满足实施项目的实质性要求。</w:t>
      </w: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p>
    <w:p>
      <w:pPr>
        <w:rPr>
          <w:rFonts w:hAnsi="宋体"/>
          <w:sz w:val="32"/>
          <w:szCs w:val="32"/>
        </w:rPr>
      </w:pPr>
      <w:r>
        <w:rPr>
          <w:rFonts w:hint="eastAsia" w:hAnsi="宋体"/>
          <w:sz w:val="32"/>
          <w:szCs w:val="32"/>
        </w:rPr>
        <w:br w:type="page"/>
      </w:r>
    </w:p>
    <w:p>
      <w:pPr>
        <w:pStyle w:val="4"/>
        <w:snapToGrid w:val="0"/>
        <w:spacing w:before="0" w:after="0" w:line="240" w:lineRule="auto"/>
        <w:ind w:firstLine="3534" w:firstLineChars="1100"/>
        <w:rPr>
          <w:rFonts w:hAnsi="宋体"/>
          <w:sz w:val="32"/>
          <w:szCs w:val="32"/>
        </w:rPr>
      </w:pPr>
    </w:p>
    <w:p>
      <w:pPr>
        <w:pStyle w:val="4"/>
        <w:snapToGrid w:val="0"/>
        <w:spacing w:before="0" w:after="0" w:line="240" w:lineRule="auto"/>
        <w:ind w:firstLine="3534" w:firstLineChars="1100"/>
        <w:rPr>
          <w:rFonts w:hAnsi="宋体"/>
          <w:sz w:val="32"/>
          <w:szCs w:val="32"/>
        </w:rPr>
      </w:pPr>
      <w:r>
        <w:rPr>
          <w:rFonts w:hint="eastAsia" w:hAnsi="宋体"/>
          <w:sz w:val="32"/>
          <w:szCs w:val="32"/>
        </w:rPr>
        <w:t>第五章评标办法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p>
    <w:bookmarkEnd w:id="41"/>
    <w:bookmarkEnd w:id="42"/>
    <w:p>
      <w:pPr>
        <w:rPr>
          <w:rFonts w:hAnsi="宋体" w:cs="宋体"/>
          <w:sz w:val="30"/>
          <w:szCs w:val="30"/>
        </w:rPr>
      </w:pPr>
    </w:p>
    <w:tbl>
      <w:tblPr>
        <w:tblStyle w:val="19"/>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93"/>
        <w:gridCol w:w="1222"/>
        <w:gridCol w:w="821"/>
        <w:gridCol w:w="5673"/>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blHeader/>
          <w:jc w:val="center"/>
        </w:trPr>
        <w:tc>
          <w:tcPr>
            <w:tcW w:w="516" w:type="dxa"/>
            <w:vAlign w:val="center"/>
          </w:tcPr>
          <w:p>
            <w:pPr>
              <w:pStyle w:val="2"/>
              <w:spacing w:after="0" w:line="480" w:lineRule="exact"/>
              <w:jc w:val="center"/>
              <w:rPr>
                <w:rFonts w:ascii="宋体" w:hAnsi="宋体" w:cs="宋体"/>
                <w:b/>
                <w:bCs/>
                <w:sz w:val="28"/>
                <w:szCs w:val="28"/>
              </w:rPr>
            </w:pPr>
            <w:r>
              <w:rPr>
                <w:rFonts w:hint="eastAsia" w:ascii="宋体" w:hAnsi="宋体" w:cs="宋体"/>
                <w:b/>
                <w:bCs/>
                <w:sz w:val="28"/>
                <w:szCs w:val="28"/>
              </w:rPr>
              <w:t>序号</w:t>
            </w:r>
          </w:p>
        </w:tc>
        <w:tc>
          <w:tcPr>
            <w:tcW w:w="1915" w:type="dxa"/>
            <w:gridSpan w:val="2"/>
            <w:vAlign w:val="center"/>
          </w:tcPr>
          <w:p>
            <w:pPr>
              <w:pStyle w:val="2"/>
              <w:spacing w:after="0" w:line="480" w:lineRule="exact"/>
              <w:jc w:val="center"/>
              <w:rPr>
                <w:rFonts w:ascii="宋体" w:hAnsi="宋体" w:cs="宋体"/>
                <w:b/>
                <w:bCs/>
                <w:sz w:val="28"/>
                <w:szCs w:val="28"/>
              </w:rPr>
            </w:pPr>
            <w:r>
              <w:rPr>
                <w:rFonts w:hint="eastAsia" w:ascii="宋体" w:hAnsi="宋体" w:cs="宋体"/>
                <w:b/>
                <w:bCs/>
                <w:sz w:val="28"/>
                <w:szCs w:val="28"/>
              </w:rPr>
              <w:t>评分因素</w:t>
            </w:r>
          </w:p>
          <w:p>
            <w:pPr>
              <w:pStyle w:val="2"/>
              <w:spacing w:after="0" w:line="480" w:lineRule="exact"/>
              <w:jc w:val="center"/>
              <w:rPr>
                <w:rFonts w:ascii="宋体" w:hAnsi="宋体" w:cs="宋体"/>
                <w:b/>
                <w:bCs/>
                <w:sz w:val="28"/>
                <w:szCs w:val="28"/>
              </w:rPr>
            </w:pPr>
            <w:r>
              <w:rPr>
                <w:rFonts w:hint="eastAsia" w:ascii="宋体" w:hAnsi="宋体" w:cs="宋体"/>
                <w:b/>
                <w:bCs/>
                <w:sz w:val="28"/>
                <w:szCs w:val="28"/>
              </w:rPr>
              <w:t>及权重</w:t>
            </w:r>
          </w:p>
        </w:tc>
        <w:tc>
          <w:tcPr>
            <w:tcW w:w="821" w:type="dxa"/>
            <w:vAlign w:val="center"/>
          </w:tcPr>
          <w:p>
            <w:pPr>
              <w:pStyle w:val="2"/>
              <w:spacing w:after="0" w:line="480" w:lineRule="exact"/>
              <w:jc w:val="center"/>
              <w:rPr>
                <w:rFonts w:ascii="宋体" w:hAnsi="宋体" w:cs="宋体"/>
                <w:b/>
                <w:bCs/>
                <w:sz w:val="28"/>
                <w:szCs w:val="28"/>
              </w:rPr>
            </w:pPr>
            <w:r>
              <w:rPr>
                <w:rFonts w:hint="eastAsia" w:ascii="宋体" w:hAnsi="宋体" w:cs="宋体"/>
                <w:b/>
                <w:bCs/>
                <w:sz w:val="28"/>
                <w:szCs w:val="28"/>
              </w:rPr>
              <w:t>分值</w:t>
            </w:r>
          </w:p>
        </w:tc>
        <w:tc>
          <w:tcPr>
            <w:tcW w:w="5673" w:type="dxa"/>
            <w:vAlign w:val="center"/>
          </w:tcPr>
          <w:p>
            <w:pPr>
              <w:pStyle w:val="2"/>
              <w:spacing w:after="0" w:line="480" w:lineRule="exact"/>
              <w:jc w:val="center"/>
              <w:rPr>
                <w:rFonts w:ascii="宋体" w:hAnsi="宋体" w:cs="宋体"/>
                <w:b/>
                <w:bCs/>
                <w:sz w:val="28"/>
                <w:szCs w:val="28"/>
              </w:rPr>
            </w:pPr>
            <w:r>
              <w:rPr>
                <w:rFonts w:hint="eastAsia" w:ascii="宋体" w:hAnsi="宋体" w:cs="宋体"/>
                <w:b/>
                <w:bCs/>
                <w:sz w:val="28"/>
                <w:szCs w:val="28"/>
              </w:rPr>
              <w:t>评分标准</w:t>
            </w:r>
          </w:p>
        </w:tc>
        <w:tc>
          <w:tcPr>
            <w:tcW w:w="1041" w:type="dxa"/>
            <w:vAlign w:val="center"/>
          </w:tcPr>
          <w:p>
            <w:pPr>
              <w:pStyle w:val="2"/>
              <w:spacing w:after="0" w:line="480" w:lineRule="exact"/>
              <w:jc w:val="center"/>
              <w:rPr>
                <w:rFonts w:ascii="宋体" w:hAnsi="宋体" w:cs="宋体"/>
                <w:b/>
                <w:bCs/>
                <w:sz w:val="28"/>
                <w:szCs w:val="28"/>
              </w:rPr>
            </w:pPr>
            <w:r>
              <w:rPr>
                <w:rFonts w:hint="eastAsia" w:ascii="宋体" w:hAnsi="宋体" w:cs="宋体"/>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516" w:type="dxa"/>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1</w:t>
            </w:r>
          </w:p>
        </w:tc>
        <w:tc>
          <w:tcPr>
            <w:tcW w:w="1915" w:type="dxa"/>
            <w:gridSpan w:val="2"/>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报价10%</w:t>
            </w:r>
          </w:p>
        </w:tc>
        <w:tc>
          <w:tcPr>
            <w:tcW w:w="821" w:type="dxa"/>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10分</w:t>
            </w:r>
          </w:p>
        </w:tc>
        <w:tc>
          <w:tcPr>
            <w:tcW w:w="5673" w:type="dxa"/>
            <w:vAlign w:val="center"/>
          </w:tcPr>
          <w:p>
            <w:pPr>
              <w:spacing w:line="480" w:lineRule="exact"/>
              <w:rPr>
                <w:rFonts w:hAnsi="宋体" w:cs="宋体"/>
                <w:sz w:val="24"/>
                <w:szCs w:val="24"/>
              </w:rPr>
            </w:pPr>
            <w:r>
              <w:rPr>
                <w:rFonts w:hint="eastAsia" w:hAnsi="宋体" w:cs="宋体"/>
                <w:sz w:val="24"/>
                <w:szCs w:val="24"/>
              </w:rPr>
              <w:t>1、满足招标文件要求且投标价格最低的投标报价为评标基准价，其价格分为满分。其他投标人的价格分统一按照下列公式计算：投标报价得分=(评标基准价／投标报价)×100</w:t>
            </w:r>
          </w:p>
          <w:p>
            <w:pPr>
              <w:spacing w:line="480" w:lineRule="exact"/>
              <w:rPr>
                <w:rFonts w:hAnsi="宋体" w:cs="宋体"/>
                <w:sz w:val="24"/>
                <w:szCs w:val="24"/>
              </w:rPr>
            </w:pPr>
            <w:r>
              <w:rPr>
                <w:rFonts w:hint="eastAsia" w:hAnsi="宋体" w:cs="宋体"/>
                <w:sz w:val="24"/>
                <w:szCs w:val="24"/>
              </w:rPr>
              <w:t>2、报价最终得分=投标报价得分×权重。评分的取值按四舍五入法，保留小数点后两位。</w:t>
            </w:r>
          </w:p>
        </w:tc>
        <w:tc>
          <w:tcPr>
            <w:tcW w:w="1041" w:type="dxa"/>
            <w:vAlign w:val="center"/>
          </w:tcPr>
          <w:p>
            <w:pPr>
              <w:pStyle w:val="2"/>
              <w:spacing w:after="0"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516" w:type="dxa"/>
            <w:vMerge w:val="restart"/>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2</w:t>
            </w:r>
          </w:p>
        </w:tc>
        <w:tc>
          <w:tcPr>
            <w:tcW w:w="693" w:type="dxa"/>
            <w:vMerge w:val="restart"/>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项目服务方案</w:t>
            </w:r>
            <w:r>
              <w:rPr>
                <w:rFonts w:ascii="宋体" w:hAnsi="宋体" w:cs="宋体"/>
                <w:sz w:val="24"/>
                <w:szCs w:val="24"/>
              </w:rPr>
              <w:t>80</w:t>
            </w:r>
            <w:r>
              <w:rPr>
                <w:rFonts w:hint="eastAsia" w:ascii="宋体" w:hAnsi="宋体" w:cs="宋体"/>
                <w:sz w:val="24"/>
                <w:szCs w:val="24"/>
              </w:rPr>
              <w:t>%</w:t>
            </w:r>
          </w:p>
        </w:tc>
        <w:tc>
          <w:tcPr>
            <w:tcW w:w="1222" w:type="dxa"/>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技术及服务指标45%</w:t>
            </w:r>
          </w:p>
        </w:tc>
        <w:tc>
          <w:tcPr>
            <w:tcW w:w="821" w:type="dxa"/>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45分</w:t>
            </w:r>
          </w:p>
        </w:tc>
        <w:tc>
          <w:tcPr>
            <w:tcW w:w="5673" w:type="dxa"/>
            <w:vAlign w:val="center"/>
          </w:tcPr>
          <w:p>
            <w:pPr>
              <w:pStyle w:val="2"/>
              <w:widowControl/>
              <w:spacing w:after="0" w:line="480" w:lineRule="exact"/>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1.完全满足技术、服务</w:t>
            </w:r>
            <w:r>
              <w:rPr>
                <w:rFonts w:hint="eastAsia" w:ascii="宋体" w:hAnsi="宋体" w:cs="宋体"/>
                <w:sz w:val="24"/>
                <w:szCs w:val="24"/>
                <w:lang w:val="en-US" w:eastAsia="zh-CN"/>
              </w:rPr>
              <w:t>内</w:t>
            </w:r>
            <w:r>
              <w:rPr>
                <w:rFonts w:hint="eastAsia" w:ascii="宋体" w:hAnsi="宋体" w:cs="宋体"/>
                <w:sz w:val="24"/>
                <w:szCs w:val="24"/>
              </w:rPr>
              <w:t>容得</w:t>
            </w:r>
            <w:r>
              <w:rPr>
                <w:rFonts w:hint="eastAsia" w:ascii="宋体" w:hAnsi="宋体" w:cs="宋体"/>
                <w:sz w:val="24"/>
                <w:szCs w:val="24"/>
                <w:lang w:val="en-US" w:eastAsia="zh-CN"/>
              </w:rPr>
              <w:t>36</w:t>
            </w:r>
            <w:r>
              <w:rPr>
                <w:rFonts w:hint="eastAsia" w:ascii="宋体" w:hAnsi="宋体" w:cs="宋体"/>
                <w:sz w:val="24"/>
                <w:szCs w:val="24"/>
              </w:rPr>
              <w:t>分；每有一项非★内容不满足扣</w:t>
            </w:r>
            <w:r>
              <w:rPr>
                <w:rFonts w:hint="eastAsia" w:ascii="宋体" w:hAnsi="宋体" w:cs="宋体"/>
                <w:sz w:val="24"/>
                <w:szCs w:val="24"/>
                <w:lang w:val="en-US" w:eastAsia="zh-CN"/>
              </w:rPr>
              <w:t>2</w:t>
            </w:r>
            <w:r>
              <w:rPr>
                <w:rFonts w:hint="eastAsia" w:ascii="宋体" w:hAnsi="宋体" w:cs="宋体"/>
                <w:color w:val="000000" w:themeColor="text1"/>
                <w:sz w:val="24"/>
                <w:szCs w:val="24"/>
                <w14:textFill>
                  <w14:solidFill>
                    <w14:schemeClr w14:val="tx1"/>
                  </w14:solidFill>
                </w14:textFill>
              </w:rPr>
              <w:t>分，直至本项分值扣完为止。</w:t>
            </w:r>
          </w:p>
          <w:p>
            <w:pPr>
              <w:pStyle w:val="2"/>
              <w:widowControl/>
              <w:spacing w:after="0" w:line="480" w:lineRule="exact"/>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2.视频制作方案</w:t>
            </w:r>
            <w:r>
              <w:rPr>
                <w:rFonts w:hint="eastAsia" w:ascii="宋体" w:hAnsi="宋体" w:cs="宋体"/>
                <w:color w:val="000000" w:themeColor="text1"/>
                <w:sz w:val="24"/>
                <w:szCs w:val="24"/>
                <w:lang w:val="en-US" w:eastAsia="zh-CN"/>
                <w14:textFill>
                  <w14:solidFill>
                    <w14:schemeClr w14:val="tx1"/>
                  </w14:solidFill>
                </w14:textFill>
              </w:rPr>
              <w:t>按照主题(1分)、创意(2分)、贴合度(1分)、可操作性(1分)、影响力(2分)等5项进行打分，合计7</w:t>
            </w:r>
            <w:r>
              <w:rPr>
                <w:rFonts w:hint="eastAsia" w:ascii="宋体" w:hAnsi="宋体" w:cs="宋体"/>
                <w:color w:val="000000" w:themeColor="text1"/>
                <w:sz w:val="24"/>
                <w:szCs w:val="24"/>
                <w14:textFill>
                  <w14:solidFill>
                    <w14:schemeClr w14:val="tx1"/>
                  </w14:solidFill>
                </w14:textFill>
              </w:rPr>
              <w:t>分；</w:t>
            </w:r>
          </w:p>
          <w:p>
            <w:pPr>
              <w:pStyle w:val="2"/>
              <w:widowControl/>
              <w:spacing w:after="0" w:line="480" w:lineRule="exact"/>
              <w:textAlignment w:val="baseline"/>
              <w:rPr>
                <w:rFonts w:hint="default" w:ascii="宋体" w:hAnsi="宋体" w:eastAsia="宋体" w:cs="宋体"/>
                <w:sz w:val="24"/>
                <w:szCs w:val="24"/>
                <w:lang w:val="en-US" w:eastAsia="zh-CN"/>
              </w:rPr>
            </w:pPr>
            <w:r>
              <w:rPr>
                <w:rFonts w:hint="eastAsia" w:ascii="宋体" w:hAnsi="宋体" w:cs="宋体"/>
                <w:sz w:val="24"/>
                <w:szCs w:val="24"/>
              </w:rPr>
              <w:t>3.</w:t>
            </w:r>
            <w:r>
              <w:rPr>
                <w:rFonts w:hint="eastAsia" w:ascii="宋体" w:hAnsi="宋体" w:cs="宋体"/>
                <w:color w:val="000000" w:themeColor="text1"/>
                <w:sz w:val="24"/>
                <w:szCs w:val="24"/>
                <w14:textFill>
                  <w14:solidFill>
                    <w14:schemeClr w14:val="tx1"/>
                  </w14:solidFill>
                </w14:textFill>
              </w:rPr>
              <w:t>投标人承诺能够满足“（七）其他要求”</w:t>
            </w:r>
            <w:r>
              <w:rPr>
                <w:rFonts w:hint="eastAsia" w:ascii="宋体" w:hAnsi="宋体" w:cs="宋体"/>
                <w:color w:val="000000" w:themeColor="text1"/>
                <w:sz w:val="24"/>
                <w:szCs w:val="24"/>
                <w:lang w:val="en-US" w:eastAsia="zh-CN"/>
                <w14:textFill>
                  <w14:solidFill>
                    <w14:schemeClr w14:val="tx1"/>
                  </w14:solidFill>
                </w14:textFill>
              </w:rPr>
              <w:t>满足一条</w:t>
            </w:r>
            <w:r>
              <w:rPr>
                <w:rFonts w:hint="eastAsia" w:ascii="宋体" w:hAnsi="宋体" w:cs="宋体"/>
                <w:color w:val="000000" w:themeColor="text1"/>
                <w:sz w:val="24"/>
                <w:szCs w:val="24"/>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分,无承诺不得分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合计2分。</w:t>
            </w:r>
          </w:p>
        </w:tc>
        <w:tc>
          <w:tcPr>
            <w:tcW w:w="1041" w:type="dxa"/>
            <w:vAlign w:val="center"/>
          </w:tcPr>
          <w:p>
            <w:pPr>
              <w:pStyle w:val="2"/>
              <w:spacing w:after="0" w:line="480" w:lineRule="exact"/>
              <w:jc w:val="center"/>
              <w:rPr>
                <w:rFonts w:ascii="宋体" w:hAnsi="宋体" w:cs="宋体"/>
                <w:sz w:val="24"/>
                <w:szCs w:val="24"/>
                <w:highlight w:val="yellow"/>
              </w:rPr>
            </w:pPr>
            <w:r>
              <w:rPr>
                <w:rFonts w:hint="eastAsia" w:ascii="宋体" w:hAnsi="宋体" w:cs="宋体"/>
                <w:sz w:val="24"/>
                <w:szCs w:val="24"/>
              </w:rPr>
              <w:t>提供承诺函原件加盖公章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16" w:type="dxa"/>
            <w:vMerge w:val="continue"/>
            <w:vAlign w:val="center"/>
          </w:tcPr>
          <w:p>
            <w:pPr>
              <w:pStyle w:val="2"/>
              <w:spacing w:after="0" w:line="480" w:lineRule="exact"/>
              <w:jc w:val="center"/>
              <w:rPr>
                <w:rFonts w:ascii="宋体" w:hAnsi="宋体" w:cs="宋体"/>
                <w:sz w:val="24"/>
                <w:szCs w:val="24"/>
              </w:rPr>
            </w:pPr>
          </w:p>
        </w:tc>
        <w:tc>
          <w:tcPr>
            <w:tcW w:w="693" w:type="dxa"/>
            <w:vMerge w:val="continue"/>
            <w:vAlign w:val="center"/>
          </w:tcPr>
          <w:p>
            <w:pPr>
              <w:pStyle w:val="2"/>
              <w:spacing w:after="0" w:line="480" w:lineRule="exact"/>
              <w:jc w:val="center"/>
              <w:rPr>
                <w:rFonts w:ascii="宋体" w:hAnsi="宋体" w:cs="宋体"/>
                <w:sz w:val="24"/>
                <w:szCs w:val="24"/>
              </w:rPr>
            </w:pPr>
          </w:p>
        </w:tc>
        <w:tc>
          <w:tcPr>
            <w:tcW w:w="1222" w:type="dxa"/>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实施方案及保障措施</w:t>
            </w:r>
            <w:r>
              <w:rPr>
                <w:rFonts w:ascii="宋体" w:hAnsi="宋体" w:cs="宋体"/>
                <w:sz w:val="24"/>
                <w:szCs w:val="24"/>
              </w:rPr>
              <w:t>35</w:t>
            </w:r>
            <w:r>
              <w:rPr>
                <w:rFonts w:hint="eastAsia" w:ascii="宋体" w:hAnsi="宋体" w:cs="宋体"/>
                <w:sz w:val="24"/>
                <w:szCs w:val="24"/>
              </w:rPr>
              <w:t>%</w:t>
            </w:r>
          </w:p>
        </w:tc>
        <w:tc>
          <w:tcPr>
            <w:tcW w:w="821" w:type="dxa"/>
            <w:vAlign w:val="center"/>
          </w:tcPr>
          <w:p>
            <w:pPr>
              <w:pStyle w:val="2"/>
              <w:spacing w:after="0" w:line="480" w:lineRule="exact"/>
              <w:jc w:val="center"/>
              <w:rPr>
                <w:rFonts w:ascii="宋体" w:hAnsi="宋体" w:cs="宋体"/>
                <w:sz w:val="24"/>
                <w:szCs w:val="24"/>
              </w:rPr>
            </w:pPr>
            <w:r>
              <w:rPr>
                <w:rFonts w:ascii="宋体" w:hAnsi="宋体" w:cs="宋体"/>
                <w:sz w:val="24"/>
                <w:szCs w:val="24"/>
              </w:rPr>
              <w:t>35</w:t>
            </w:r>
            <w:r>
              <w:rPr>
                <w:rFonts w:hint="eastAsia" w:ascii="宋体" w:hAnsi="宋体" w:cs="宋体"/>
                <w:sz w:val="24"/>
                <w:szCs w:val="24"/>
              </w:rPr>
              <w:t>分</w:t>
            </w:r>
          </w:p>
        </w:tc>
        <w:tc>
          <w:tcPr>
            <w:tcW w:w="5673" w:type="dxa"/>
            <w:vAlign w:val="center"/>
          </w:tcPr>
          <w:p>
            <w:pPr>
              <w:spacing w:line="480" w:lineRule="exact"/>
              <w:rPr>
                <w:rFonts w:hAnsi="宋体" w:cs="宋体"/>
                <w:sz w:val="24"/>
                <w:szCs w:val="24"/>
              </w:rPr>
            </w:pPr>
            <w:r>
              <w:rPr>
                <w:rFonts w:hint="eastAsia" w:hAnsi="宋体" w:cs="宋体"/>
                <w:sz w:val="24"/>
                <w:szCs w:val="24"/>
              </w:rPr>
              <w:t>1.所使用的无人机经民用无人驾驶航空器材综合管理平台备案的得5分；没有不得分。</w:t>
            </w:r>
          </w:p>
          <w:p>
            <w:pPr>
              <w:spacing w:line="480" w:lineRule="exact"/>
              <w:rPr>
                <w:rFonts w:hAnsi="宋体" w:cs="宋体"/>
                <w:sz w:val="24"/>
                <w:szCs w:val="24"/>
              </w:rPr>
            </w:pPr>
            <w:r>
              <w:rPr>
                <w:rFonts w:hint="eastAsia" w:hAnsi="宋体" w:cs="宋体"/>
                <w:color w:val="000000" w:themeColor="text1"/>
                <w:sz w:val="24"/>
                <w:szCs w:val="24"/>
                <w14:textFill>
                  <w14:solidFill>
                    <w14:schemeClr w14:val="tx1"/>
                  </w14:solidFill>
                </w14:textFill>
              </w:rPr>
              <w:t>2.根据供应商提供的项目实施方案(包含1.服务团队;2.前期拍摄准备;3.视频拍摄;4.</w:t>
            </w:r>
            <w:r>
              <w:rPr>
                <w:rFonts w:hint="eastAsia" w:hAnsi="宋体" w:cs="宋体"/>
                <w:color w:val="000000" w:themeColor="text1"/>
                <w:sz w:val="24"/>
                <w:szCs w:val="24"/>
                <w:lang w:val="en-US" w:eastAsia="zh-CN"/>
                <w14:textFill>
                  <w14:solidFill>
                    <w14:schemeClr w14:val="tx1"/>
                  </w14:solidFill>
                </w14:textFill>
              </w:rPr>
              <w:t>完成度保障</w:t>
            </w:r>
            <w:r>
              <w:rPr>
                <w:rFonts w:hint="eastAsia" w:hAnsi="宋体" w:cs="宋体"/>
                <w:color w:val="000000" w:themeColor="text1"/>
                <w:sz w:val="24"/>
                <w:szCs w:val="24"/>
                <w14:textFill>
                  <w14:solidFill>
                    <w14:schemeClr w14:val="tx1"/>
                  </w14:solidFill>
                </w14:textFill>
              </w:rPr>
              <w:t>；5.项目运行推广)</w:t>
            </w:r>
            <w:r>
              <w:rPr>
                <w:rFonts w:hint="eastAsia" w:hAnsi="宋体" w:cs="宋体"/>
                <w:sz w:val="24"/>
                <w:szCs w:val="24"/>
              </w:rPr>
              <w:t>进行综合评审。上述方案完整、内容描述详细、完全符合采购项目采购需求的得10分，以上方面每一处存在缺陷（缺陷指与项目实际情况不符或不满足项目需求或内容缺失）的扣2分，扣完本项分值为止。</w:t>
            </w:r>
          </w:p>
          <w:p>
            <w:pPr>
              <w:spacing w:line="480" w:lineRule="exact"/>
              <w:rPr>
                <w:rFonts w:hAnsi="宋体" w:cs="宋体"/>
                <w:sz w:val="24"/>
                <w:szCs w:val="24"/>
              </w:rPr>
            </w:pPr>
            <w:r>
              <w:rPr>
                <w:rFonts w:hint="eastAsia" w:hAnsi="宋体" w:cs="宋体"/>
                <w:sz w:val="24"/>
                <w:szCs w:val="24"/>
              </w:rPr>
              <w:t>3.根据供应商拟投入本项目人员配置(包括但不限于:1.剧本设计团队;2.视频拍摄团队;3.视频制作团队;4.项目运行推广团队等) 进行综合评审。上述配置完整得</w:t>
            </w:r>
            <w:r>
              <w:rPr>
                <w:rFonts w:hAnsi="宋体" w:cs="宋体"/>
                <w:sz w:val="24"/>
                <w:szCs w:val="24"/>
              </w:rPr>
              <w:t>10</w:t>
            </w:r>
            <w:r>
              <w:rPr>
                <w:rFonts w:hint="eastAsia" w:hAnsi="宋体" w:cs="宋体"/>
                <w:sz w:val="24"/>
                <w:szCs w:val="24"/>
              </w:rPr>
              <w:t>分，以上方面每一处存在缺陷（缺陷指与项目实际情况不符或不满足项目需求或内容缺失）的扣</w:t>
            </w:r>
            <w:r>
              <w:rPr>
                <w:rFonts w:hAnsi="宋体" w:cs="宋体"/>
                <w:sz w:val="24"/>
                <w:szCs w:val="24"/>
              </w:rPr>
              <w:t>2.5</w:t>
            </w:r>
            <w:r>
              <w:rPr>
                <w:rFonts w:hint="eastAsia" w:hAnsi="宋体" w:cs="宋体"/>
                <w:sz w:val="24"/>
                <w:szCs w:val="24"/>
              </w:rPr>
              <w:t>分，扣完本项分值为止。</w:t>
            </w:r>
          </w:p>
          <w:p>
            <w:pPr>
              <w:spacing w:line="480" w:lineRule="exact"/>
              <w:rPr>
                <w:rFonts w:hAnsi="宋体" w:cs="宋体"/>
                <w:sz w:val="24"/>
                <w:szCs w:val="24"/>
              </w:rPr>
            </w:pPr>
            <w:r>
              <w:rPr>
                <w:rFonts w:hint="eastAsia" w:hAnsi="宋体" w:cs="宋体"/>
                <w:b/>
                <w:bCs/>
                <w:sz w:val="24"/>
                <w:szCs w:val="24"/>
              </w:rPr>
              <w:t>4、</w:t>
            </w:r>
            <w:r>
              <w:rPr>
                <w:rFonts w:hint="eastAsia" w:hAnsi="宋体" w:cs="宋体"/>
                <w:sz w:val="24"/>
                <w:szCs w:val="24"/>
              </w:rPr>
              <w:t>根据供应商拟投入本项目设备配置(包括但不限于:1.拍摄相关设备;2.工作区设备;3.软件配置;4.拍摄现场管理方案等) 进行综合评审。上述配置完整得</w:t>
            </w:r>
            <w:r>
              <w:rPr>
                <w:rFonts w:hAnsi="宋体" w:cs="宋体"/>
                <w:sz w:val="24"/>
                <w:szCs w:val="24"/>
              </w:rPr>
              <w:t>10</w:t>
            </w:r>
            <w:r>
              <w:rPr>
                <w:rFonts w:hint="eastAsia" w:hAnsi="宋体" w:cs="宋体"/>
                <w:sz w:val="24"/>
                <w:szCs w:val="24"/>
              </w:rPr>
              <w:t>分，以上方面每一处存在缺陷（缺陷指与项目实际情况不符或不满足项目需求或内容缺失）的扣</w:t>
            </w:r>
            <w:r>
              <w:rPr>
                <w:rFonts w:hAnsi="宋体" w:cs="宋体"/>
                <w:sz w:val="24"/>
                <w:szCs w:val="24"/>
              </w:rPr>
              <w:t>2.5</w:t>
            </w:r>
            <w:r>
              <w:rPr>
                <w:rFonts w:hint="eastAsia" w:hAnsi="宋体" w:cs="宋体"/>
                <w:sz w:val="24"/>
                <w:szCs w:val="24"/>
              </w:rPr>
              <w:t>分，扣完本项分值为止。</w:t>
            </w:r>
          </w:p>
        </w:tc>
        <w:tc>
          <w:tcPr>
            <w:tcW w:w="1041" w:type="dxa"/>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516" w:type="dxa"/>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3</w:t>
            </w:r>
          </w:p>
        </w:tc>
        <w:tc>
          <w:tcPr>
            <w:tcW w:w="1915" w:type="dxa"/>
            <w:gridSpan w:val="2"/>
            <w:vAlign w:val="center"/>
          </w:tcPr>
          <w:p>
            <w:pPr>
              <w:pStyle w:val="2"/>
              <w:spacing w:after="0" w:line="480" w:lineRule="exact"/>
              <w:jc w:val="center"/>
              <w:rPr>
                <w:rFonts w:ascii="宋体" w:hAnsi="宋体" w:cs="宋体"/>
                <w:sz w:val="24"/>
                <w:szCs w:val="24"/>
              </w:rPr>
            </w:pPr>
            <w:r>
              <w:rPr>
                <w:rFonts w:hint="eastAsia" w:ascii="宋体" w:hAnsi="宋体" w:cs="宋体"/>
                <w:sz w:val="24"/>
                <w:szCs w:val="24"/>
              </w:rPr>
              <w:t>团队成果情况</w:t>
            </w:r>
          </w:p>
        </w:tc>
        <w:tc>
          <w:tcPr>
            <w:tcW w:w="821" w:type="dxa"/>
            <w:vAlign w:val="center"/>
          </w:tcPr>
          <w:p>
            <w:pPr>
              <w:pStyle w:val="2"/>
              <w:spacing w:after="0" w:line="480" w:lineRule="exact"/>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分</w:t>
            </w:r>
          </w:p>
        </w:tc>
        <w:tc>
          <w:tcPr>
            <w:tcW w:w="5673" w:type="dxa"/>
            <w:vAlign w:val="center"/>
          </w:tcPr>
          <w:p>
            <w:pPr>
              <w:spacing w:line="48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1.供应商提供与本次采购项目类似项目的相关案例，</w:t>
            </w:r>
            <w:r>
              <w:rPr>
                <w:rFonts w:hint="eastAsia" w:hAnsi="宋体" w:cs="宋体"/>
                <w:color w:val="000000" w:themeColor="text1"/>
                <w:sz w:val="24"/>
                <w:szCs w:val="24"/>
                <w:lang w:val="en-US" w:eastAsia="zh-CN"/>
                <w14:textFill>
                  <w14:solidFill>
                    <w14:schemeClr w14:val="tx1"/>
                  </w14:solidFill>
                </w14:textFill>
              </w:rPr>
              <w:t>以</w:t>
            </w:r>
            <w:r>
              <w:rPr>
                <w:rFonts w:hint="eastAsia" w:hAnsi="宋体" w:cs="宋体"/>
                <w:color w:val="000000" w:themeColor="text1"/>
                <w:sz w:val="24"/>
                <w:szCs w:val="24"/>
                <w14:textFill>
                  <w14:solidFill>
                    <w14:schemeClr w14:val="tx1"/>
                  </w14:solidFill>
                </w14:textFill>
              </w:rPr>
              <w:t>提供</w:t>
            </w:r>
            <w:r>
              <w:rPr>
                <w:rFonts w:hint="eastAsia" w:hAnsi="宋体" w:cs="宋体"/>
                <w:color w:val="000000" w:themeColor="text1"/>
                <w:sz w:val="24"/>
                <w:szCs w:val="24"/>
                <w:lang w:val="en-US" w:eastAsia="zh-CN"/>
                <w14:textFill>
                  <w14:solidFill>
                    <w14:schemeClr w14:val="tx1"/>
                  </w14:solidFill>
                </w14:textFill>
              </w:rPr>
              <w:t>1项得1分计算，3项以上</w:t>
            </w:r>
            <w:r>
              <w:rPr>
                <w:rFonts w:hint="eastAsia" w:hAnsi="宋体" w:cs="宋体"/>
                <w:color w:val="000000" w:themeColor="text1"/>
                <w:sz w:val="24"/>
                <w:szCs w:val="24"/>
                <w14:textFill>
                  <w14:solidFill>
                    <w14:schemeClr w14:val="tx1"/>
                  </w14:solidFill>
                </w14:textFill>
              </w:rPr>
              <w:t>得6分，不能提供则不得分（提供合同复印件加盖公章）；</w:t>
            </w:r>
          </w:p>
          <w:p>
            <w:pPr>
              <w:spacing w:line="480" w:lineRule="exact"/>
              <w:rPr>
                <w:rFonts w:hAnsi="宋体" w:cs="宋体"/>
                <w:sz w:val="24"/>
                <w:szCs w:val="24"/>
              </w:rPr>
            </w:pPr>
            <w:r>
              <w:rPr>
                <w:rFonts w:hint="eastAsia" w:hAnsi="宋体" w:cs="宋体"/>
                <w:color w:val="000000" w:themeColor="text1"/>
                <w:sz w:val="24"/>
                <w:szCs w:val="24"/>
                <w14:textFill>
                  <w14:solidFill>
                    <w14:schemeClr w14:val="tx1"/>
                  </w14:solidFill>
                </w14:textFill>
              </w:rPr>
              <w:t>2.供应商参与拍摄作品在省级以上媒体平台（包括新媒体）展播的，每提供一个省级媒体平台展播链接得2分，最多得4分；或提供一个国家级媒体平台展播链接得4分。满分</w:t>
            </w:r>
            <w:r>
              <w:rPr>
                <w:rFonts w:hAnsi="宋体" w:cs="宋体"/>
                <w:color w:val="000000" w:themeColor="text1"/>
                <w:sz w:val="24"/>
                <w:szCs w:val="24"/>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分。未提供展播链接不得分。（展播链接页面需截图打印加盖公章）</w:t>
            </w:r>
          </w:p>
        </w:tc>
        <w:tc>
          <w:tcPr>
            <w:tcW w:w="1041" w:type="dxa"/>
            <w:vAlign w:val="center"/>
          </w:tcPr>
          <w:p>
            <w:pPr>
              <w:pStyle w:val="2"/>
              <w:spacing w:after="0" w:line="480" w:lineRule="exact"/>
              <w:jc w:val="center"/>
              <w:rPr>
                <w:rFonts w:ascii="宋体" w:hAnsi="宋体" w:cs="宋体"/>
                <w:sz w:val="24"/>
                <w:szCs w:val="24"/>
              </w:rPr>
            </w:pPr>
          </w:p>
          <w:p>
            <w:pPr>
              <w:pStyle w:val="2"/>
              <w:spacing w:after="0" w:line="480" w:lineRule="exact"/>
              <w:jc w:val="center"/>
              <w:rPr>
                <w:rFonts w:ascii="宋体" w:hAnsi="宋体" w:cs="宋体"/>
                <w:sz w:val="24"/>
                <w:szCs w:val="24"/>
              </w:rPr>
            </w:pPr>
            <w:r>
              <w:rPr>
                <w:rFonts w:hint="eastAsia" w:ascii="宋体" w:hAnsi="宋体" w:cs="宋体"/>
                <w:sz w:val="24"/>
                <w:szCs w:val="24"/>
              </w:rPr>
              <w:t>提供相关证明</w:t>
            </w:r>
          </w:p>
        </w:tc>
      </w:tr>
    </w:tbl>
    <w:p>
      <w:pPr>
        <w:pStyle w:val="27"/>
        <w:rPr>
          <w:sz w:val="24"/>
          <w:szCs w:val="24"/>
        </w:rPr>
      </w:pPr>
    </w:p>
    <w:p>
      <w:pPr>
        <w:pStyle w:val="4"/>
        <w:snapToGrid w:val="0"/>
        <w:spacing w:before="0" w:after="0" w:line="360" w:lineRule="auto"/>
        <w:ind w:firstLine="2711" w:firstLineChars="900"/>
        <w:rPr>
          <w:rFonts w:hAnsi="宋体" w:cs="宋体"/>
          <w:sz w:val="30"/>
          <w:szCs w:val="30"/>
        </w:rPr>
      </w:pPr>
    </w:p>
    <w:p>
      <w:pPr>
        <w:rPr>
          <w:rFonts w:hint="eastAsia" w:hAnsi="宋体" w:cs="宋体"/>
          <w:sz w:val="30"/>
          <w:szCs w:val="30"/>
        </w:rPr>
      </w:pPr>
      <w:r>
        <w:rPr>
          <w:rFonts w:hint="eastAsia" w:hAnsi="宋体" w:cs="宋体"/>
          <w:sz w:val="30"/>
          <w:szCs w:val="30"/>
        </w:rPr>
        <w:br w:type="page"/>
      </w:r>
    </w:p>
    <w:p>
      <w:pPr>
        <w:pStyle w:val="4"/>
        <w:snapToGrid w:val="0"/>
        <w:spacing w:before="0" w:after="0" w:line="360" w:lineRule="auto"/>
        <w:rPr>
          <w:rFonts w:hint="eastAsia" w:hAnsi="宋体" w:cs="宋体"/>
          <w:sz w:val="30"/>
          <w:szCs w:val="30"/>
        </w:rPr>
      </w:pPr>
    </w:p>
    <w:p>
      <w:pPr>
        <w:pStyle w:val="4"/>
        <w:numPr>
          <w:ilvl w:val="0"/>
          <w:numId w:val="6"/>
        </w:numPr>
        <w:snapToGrid w:val="0"/>
        <w:spacing w:before="0" w:after="0" w:line="360" w:lineRule="auto"/>
        <w:ind w:firstLine="2108" w:firstLineChars="700"/>
        <w:rPr>
          <w:rFonts w:hint="eastAsia" w:hAnsi="宋体" w:cs="宋体"/>
          <w:sz w:val="30"/>
          <w:szCs w:val="30"/>
        </w:rPr>
      </w:pPr>
      <w:r>
        <w:rPr>
          <w:rFonts w:hint="eastAsia" w:hAnsi="宋体" w:cs="宋体"/>
          <w:sz w:val="30"/>
          <w:szCs w:val="30"/>
          <w:lang w:val="en-US" w:eastAsia="zh-CN"/>
        </w:rPr>
        <w:t xml:space="preserve">   </w:t>
      </w:r>
      <w:r>
        <w:rPr>
          <w:rFonts w:hint="eastAsia" w:hAnsi="宋体" w:cs="宋体"/>
          <w:sz w:val="30"/>
          <w:szCs w:val="30"/>
        </w:rPr>
        <w:t>合同主要条款</w:t>
      </w:r>
    </w:p>
    <w:p>
      <w:pPr>
        <w:rPr>
          <w:rFonts w:hint="default" w:eastAsia="宋体"/>
          <w:lang w:val="en-US" w:eastAsia="zh-CN"/>
        </w:rPr>
      </w:pPr>
      <w:r>
        <w:rPr>
          <w:rFonts w:hint="eastAsia" w:hAnsi="宋体" w:cs="宋体"/>
          <w:sz w:val="30"/>
          <w:szCs w:val="30"/>
          <w:lang w:val="en-US" w:eastAsia="zh-CN"/>
        </w:rPr>
        <w:t xml:space="preserve">                        （供参考）</w:t>
      </w: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甲方：</w:t>
      </w:r>
    </w:p>
    <w:p>
      <w:pPr>
        <w:jc w:val="left"/>
        <w:rPr>
          <w:rFonts w:hint="eastAsia" w:ascii="宋体" w:hAnsi="宋体" w:cs="宋体"/>
          <w:sz w:val="24"/>
        </w:rPr>
      </w:pPr>
      <w:r>
        <w:rPr>
          <w:rFonts w:hint="eastAsia" w:ascii="宋体" w:hAnsi="宋体" w:cs="宋体"/>
          <w:sz w:val="24"/>
        </w:rPr>
        <w:t xml:space="preserve">乙方： </w:t>
      </w:r>
    </w:p>
    <w:p>
      <w:pPr>
        <w:jc w:val="left"/>
        <w:rPr>
          <w:rFonts w:hint="eastAsia" w:ascii="宋体" w:hAnsi="宋体" w:cs="宋体"/>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甲乙双方本着平等自愿，互利互惠的原则，经友好协商，同意就</w:t>
      </w:r>
      <w:r>
        <w:rPr>
          <w:rFonts w:hint="eastAsia" w:hAnsi="宋体" w:cs="宋体"/>
          <w:sz w:val="24"/>
          <w:u w:val="single"/>
          <w:lang w:val="en-US" w:eastAsia="zh-CN"/>
        </w:rPr>
        <w:t xml:space="preserve">             </w:t>
      </w:r>
      <w:r>
        <w:rPr>
          <w:rFonts w:hint="eastAsia" w:ascii="宋体" w:hAnsi="宋体" w:cs="宋体"/>
          <w:sz w:val="24"/>
        </w:rPr>
        <w:t>项目展开合作，并达成如下协议。</w:t>
      </w:r>
    </w:p>
    <w:p>
      <w:pPr>
        <w:jc w:val="left"/>
        <w:rPr>
          <w:rFonts w:hint="eastAsia" w:ascii="宋体" w:hAnsi="宋体" w:cs="宋体"/>
          <w:sz w:val="24"/>
        </w:rPr>
      </w:pPr>
    </w:p>
    <w:p>
      <w:pPr>
        <w:numPr>
          <w:numId w:val="0"/>
        </w:numPr>
        <w:jc w:val="left"/>
        <w:rPr>
          <w:rFonts w:hint="eastAsia" w:ascii="宋体" w:hAnsi="宋体" w:cs="宋体"/>
          <w:b/>
          <w:bCs/>
          <w:sz w:val="24"/>
        </w:rPr>
      </w:pPr>
      <w:r>
        <w:rPr>
          <w:rFonts w:hint="eastAsia" w:hAnsi="宋体" w:cs="宋体"/>
          <w:b/>
          <w:bCs/>
          <w:sz w:val="24"/>
          <w:lang w:val="en-US" w:eastAsia="zh-CN"/>
        </w:rPr>
        <w:t>1.</w:t>
      </w:r>
      <w:r>
        <w:rPr>
          <w:rFonts w:hint="eastAsia" w:ascii="宋体" w:hAnsi="宋体" w:cs="宋体"/>
          <w:b/>
          <w:bCs/>
          <w:sz w:val="24"/>
        </w:rPr>
        <w:t>合作形式</w:t>
      </w:r>
    </w:p>
    <w:p>
      <w:pPr>
        <w:jc w:val="left"/>
        <w:rPr>
          <w:rFonts w:hint="eastAsia" w:ascii="宋体" w:hAnsi="宋体" w:cs="宋体"/>
          <w:sz w:val="24"/>
        </w:rPr>
      </w:pPr>
    </w:p>
    <w:p>
      <w:pPr>
        <w:numPr>
          <w:ilvl w:val="1"/>
          <w:numId w:val="7"/>
        </w:numPr>
        <w:jc w:val="left"/>
        <w:rPr>
          <w:rFonts w:hint="eastAsia" w:ascii="宋体" w:hAnsi="宋体" w:cs="宋体"/>
          <w:sz w:val="24"/>
        </w:rPr>
      </w:pPr>
      <w:r>
        <w:rPr>
          <w:rFonts w:hint="eastAsia" w:ascii="宋体" w:hAnsi="宋体" w:cs="宋体"/>
          <w:sz w:val="24"/>
        </w:rPr>
        <w:t>合作期间内，乙方根据甲方提出的具体要求对甲方所需的铁道安全规范宣传视频与“铁小川”IP打造提供相关服务。</w:t>
      </w:r>
    </w:p>
    <w:p>
      <w:pPr>
        <w:numPr>
          <w:ilvl w:val="1"/>
          <w:numId w:val="7"/>
        </w:numPr>
        <w:jc w:val="left"/>
        <w:rPr>
          <w:rFonts w:hint="eastAsia" w:ascii="宋体" w:hAnsi="宋体" w:cs="宋体"/>
          <w:sz w:val="24"/>
        </w:rPr>
      </w:pPr>
      <w:r>
        <w:rPr>
          <w:rFonts w:hint="eastAsia" w:ascii="宋体" w:hAnsi="宋体" w:cs="宋体"/>
          <w:sz w:val="24"/>
        </w:rPr>
        <w:t>合作期间内，乙方只负责协议内涉及的相关服务事宜，其它非协议内相关事宜，乙方不承担任何责任。</w:t>
      </w:r>
    </w:p>
    <w:p>
      <w:pPr>
        <w:numPr>
          <w:ilvl w:val="1"/>
          <w:numId w:val="7"/>
        </w:numPr>
        <w:jc w:val="left"/>
        <w:rPr>
          <w:rFonts w:hint="eastAsia" w:ascii="宋体" w:hAnsi="宋体" w:cs="宋体"/>
          <w:sz w:val="24"/>
        </w:rPr>
      </w:pPr>
      <w:r>
        <w:rPr>
          <w:rFonts w:hint="eastAsia" w:ascii="宋体" w:hAnsi="宋体" w:cs="宋体"/>
          <w:sz w:val="24"/>
        </w:rPr>
        <w:t>此协议所列合作项目，只适用于签订日期内所产生的各类事宜，签订日期外达成的其它一切事宜，不在此协议包含范围内。</w:t>
      </w:r>
    </w:p>
    <w:p>
      <w:pPr>
        <w:jc w:val="left"/>
        <w:rPr>
          <w:rFonts w:hint="eastAsia" w:ascii="宋体" w:hAnsi="宋体" w:cs="宋体"/>
          <w:sz w:val="24"/>
        </w:rPr>
      </w:pPr>
    </w:p>
    <w:p>
      <w:pPr>
        <w:jc w:val="left"/>
        <w:rPr>
          <w:rFonts w:hint="eastAsia" w:ascii="宋体" w:hAnsi="宋体" w:cs="宋体"/>
          <w:sz w:val="24"/>
        </w:rPr>
      </w:pPr>
    </w:p>
    <w:p>
      <w:pPr>
        <w:numPr>
          <w:ilvl w:val="0"/>
          <w:numId w:val="7"/>
        </w:numPr>
        <w:jc w:val="left"/>
        <w:rPr>
          <w:rFonts w:hint="eastAsia" w:ascii="宋体" w:hAnsi="宋体" w:cs="宋体"/>
          <w:b/>
          <w:bCs/>
          <w:sz w:val="24"/>
        </w:rPr>
      </w:pPr>
      <w:r>
        <w:rPr>
          <w:rFonts w:hint="eastAsia" w:ascii="宋体" w:hAnsi="宋体" w:cs="宋体"/>
          <w:b/>
          <w:bCs/>
          <w:sz w:val="24"/>
        </w:rPr>
        <w:t>服务类别及收费方式</w:t>
      </w:r>
    </w:p>
    <w:p>
      <w:pPr>
        <w:jc w:val="left"/>
        <w:rPr>
          <w:rFonts w:hint="eastAsia" w:ascii="宋体" w:hAnsi="宋体" w:cs="宋体"/>
          <w:sz w:val="24"/>
        </w:rPr>
      </w:pPr>
    </w:p>
    <w:p>
      <w:pPr>
        <w:numPr>
          <w:ilvl w:val="1"/>
          <w:numId w:val="7"/>
        </w:numPr>
        <w:jc w:val="left"/>
        <w:rPr>
          <w:rFonts w:hint="eastAsia" w:ascii="宋体" w:hAnsi="宋体" w:cs="宋体"/>
          <w:sz w:val="24"/>
        </w:rPr>
      </w:pPr>
      <w:r>
        <w:rPr>
          <w:rFonts w:hint="eastAsia" w:ascii="宋体" w:hAnsi="宋体" w:cs="宋体"/>
          <w:sz w:val="24"/>
        </w:rPr>
        <w:t>乙方根据提供的服务方式不同，具体收费方式不同。</w:t>
      </w:r>
      <w:bookmarkStart w:id="98" w:name="_GoBack"/>
      <w:bookmarkEnd w:id="98"/>
    </w:p>
    <w:p>
      <w:pPr>
        <w:numPr>
          <w:ilvl w:val="1"/>
          <w:numId w:val="7"/>
        </w:numPr>
        <w:jc w:val="left"/>
        <w:rPr>
          <w:rFonts w:hint="eastAsia" w:ascii="宋体" w:hAnsi="宋体" w:cs="宋体"/>
          <w:sz w:val="24"/>
        </w:rPr>
      </w:pPr>
      <w:r>
        <w:rPr>
          <w:rFonts w:hint="eastAsia" w:ascii="宋体" w:hAnsi="宋体" w:cs="宋体"/>
          <w:sz w:val="24"/>
        </w:rPr>
        <w:t>本次具体收费明细如下：</w:t>
      </w:r>
    </w:p>
    <w:tbl>
      <w:tblPr>
        <w:tblStyle w:val="19"/>
        <w:tblpPr w:leftFromText="180" w:rightFromText="180" w:vertAnchor="text" w:horzAnchor="page" w:tblpX="1794"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507"/>
        <w:gridCol w:w="1627"/>
        <w:gridCol w:w="1720"/>
        <w:gridCol w:w="1133"/>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1" w:type="dxa"/>
            <w:shd w:val="clear" w:color="auto" w:fill="auto"/>
            <w:noWrap w:val="0"/>
            <w:vAlign w:val="top"/>
          </w:tcPr>
          <w:p>
            <w:pPr>
              <w:jc w:val="left"/>
              <w:rPr>
                <w:rFonts w:ascii="宋体" w:hAnsi="宋体" w:cs="宋体"/>
                <w:sz w:val="24"/>
              </w:rPr>
            </w:pPr>
            <w:r>
              <w:rPr>
                <w:rFonts w:hint="eastAsia" w:ascii="宋体" w:hAnsi="宋体" w:cs="宋体"/>
                <w:sz w:val="24"/>
              </w:rPr>
              <w:t>项目</w:t>
            </w:r>
          </w:p>
        </w:tc>
        <w:tc>
          <w:tcPr>
            <w:tcW w:w="1507" w:type="dxa"/>
            <w:shd w:val="clear" w:color="auto" w:fill="auto"/>
            <w:noWrap w:val="0"/>
            <w:vAlign w:val="top"/>
          </w:tcPr>
          <w:p>
            <w:pPr>
              <w:jc w:val="left"/>
              <w:rPr>
                <w:rFonts w:ascii="宋体" w:hAnsi="宋体" w:cs="宋体"/>
                <w:sz w:val="24"/>
              </w:rPr>
            </w:pPr>
            <w:r>
              <w:rPr>
                <w:rFonts w:hint="eastAsia" w:ascii="宋体" w:hAnsi="宋体" w:cs="宋体"/>
                <w:sz w:val="24"/>
              </w:rPr>
              <w:t>类别</w:t>
            </w:r>
          </w:p>
        </w:tc>
        <w:tc>
          <w:tcPr>
            <w:tcW w:w="1627" w:type="dxa"/>
            <w:shd w:val="clear" w:color="auto" w:fill="auto"/>
            <w:noWrap w:val="0"/>
            <w:vAlign w:val="top"/>
          </w:tcPr>
          <w:p>
            <w:pPr>
              <w:jc w:val="left"/>
              <w:rPr>
                <w:rFonts w:ascii="宋体" w:hAnsi="宋体" w:cs="宋体"/>
                <w:sz w:val="24"/>
              </w:rPr>
            </w:pPr>
            <w:r>
              <w:rPr>
                <w:rFonts w:hint="eastAsia" w:ascii="宋体" w:hAnsi="宋体" w:cs="宋体"/>
                <w:sz w:val="24"/>
              </w:rPr>
              <w:t>具体内容</w:t>
            </w:r>
          </w:p>
        </w:tc>
        <w:tc>
          <w:tcPr>
            <w:tcW w:w="1720" w:type="dxa"/>
            <w:shd w:val="clear" w:color="auto" w:fill="auto"/>
            <w:noWrap w:val="0"/>
            <w:vAlign w:val="top"/>
          </w:tcPr>
          <w:p>
            <w:pPr>
              <w:jc w:val="left"/>
              <w:rPr>
                <w:rFonts w:ascii="宋体" w:hAnsi="宋体" w:cs="宋体"/>
                <w:sz w:val="24"/>
              </w:rPr>
            </w:pPr>
            <w:r>
              <w:rPr>
                <w:rFonts w:hint="eastAsia" w:ascii="宋体" w:hAnsi="宋体" w:cs="宋体"/>
                <w:sz w:val="24"/>
              </w:rPr>
              <w:t>数量</w:t>
            </w:r>
          </w:p>
        </w:tc>
        <w:tc>
          <w:tcPr>
            <w:tcW w:w="1133" w:type="dxa"/>
            <w:shd w:val="clear" w:color="auto" w:fill="auto"/>
            <w:noWrap w:val="0"/>
            <w:vAlign w:val="top"/>
          </w:tcPr>
          <w:p>
            <w:pPr>
              <w:jc w:val="left"/>
              <w:rPr>
                <w:rFonts w:ascii="宋体" w:hAnsi="宋体" w:cs="宋体"/>
                <w:sz w:val="24"/>
              </w:rPr>
            </w:pPr>
            <w:r>
              <w:rPr>
                <w:rFonts w:hint="eastAsia" w:ascii="宋体" w:hAnsi="宋体" w:cs="宋体"/>
                <w:sz w:val="24"/>
              </w:rPr>
              <w:t>规格</w:t>
            </w:r>
          </w:p>
        </w:tc>
        <w:tc>
          <w:tcPr>
            <w:tcW w:w="1110" w:type="dxa"/>
            <w:shd w:val="clear" w:color="auto" w:fill="auto"/>
            <w:noWrap w:val="0"/>
            <w:vAlign w:val="top"/>
          </w:tcPr>
          <w:p>
            <w:pPr>
              <w:jc w:val="left"/>
              <w:rPr>
                <w:rFonts w:ascii="宋体" w:hAnsi="宋体" w:cs="宋体"/>
                <w:sz w:val="24"/>
              </w:rPr>
            </w:pP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421" w:type="dxa"/>
            <w:shd w:val="clear" w:color="auto" w:fill="auto"/>
            <w:noWrap w:val="0"/>
            <w:vAlign w:val="top"/>
          </w:tcPr>
          <w:p>
            <w:pPr>
              <w:jc w:val="left"/>
              <w:rPr>
                <w:rFonts w:hint="eastAsia" w:ascii="宋体" w:hAnsi="宋体" w:cs="宋体"/>
                <w:sz w:val="24"/>
              </w:rPr>
            </w:pPr>
            <w:r>
              <w:rPr>
                <w:rFonts w:hint="eastAsia" w:ascii="宋体" w:hAnsi="宋体" w:cs="宋体"/>
                <w:sz w:val="24"/>
              </w:rPr>
              <w:t>铁道安全规范宣传视频与“铁小川”IP打造</w:t>
            </w:r>
          </w:p>
        </w:tc>
        <w:tc>
          <w:tcPr>
            <w:tcW w:w="1507" w:type="dxa"/>
            <w:shd w:val="clear" w:color="auto" w:fill="auto"/>
            <w:noWrap w:val="0"/>
            <w:vAlign w:val="top"/>
          </w:tcPr>
          <w:p>
            <w:pPr>
              <w:jc w:val="left"/>
              <w:rPr>
                <w:rFonts w:ascii="宋体" w:hAnsi="宋体" w:cs="宋体"/>
                <w:sz w:val="24"/>
              </w:rPr>
            </w:pPr>
            <w:r>
              <w:rPr>
                <w:rFonts w:hint="eastAsia" w:ascii="宋体" w:hAnsi="宋体" w:cs="宋体"/>
                <w:sz w:val="24"/>
              </w:rPr>
              <w:t>实地拍摄视频制作与3D特效类视频制作</w:t>
            </w:r>
          </w:p>
        </w:tc>
        <w:tc>
          <w:tcPr>
            <w:tcW w:w="1627" w:type="dxa"/>
            <w:shd w:val="clear" w:color="auto" w:fill="auto"/>
            <w:noWrap w:val="0"/>
            <w:vAlign w:val="top"/>
          </w:tcPr>
          <w:p>
            <w:pPr>
              <w:jc w:val="left"/>
              <w:rPr>
                <w:rFonts w:ascii="宋体" w:hAnsi="宋体" w:cs="宋体"/>
                <w:sz w:val="24"/>
              </w:rPr>
            </w:pPr>
            <w:r>
              <w:rPr>
                <w:rFonts w:hint="eastAsia" w:ascii="宋体" w:hAnsi="宋体" w:cs="宋体"/>
                <w:sz w:val="24"/>
              </w:rPr>
              <w:t>铁道安全规范宣传视频与铁小川IP宣传视频</w:t>
            </w:r>
          </w:p>
        </w:tc>
        <w:tc>
          <w:tcPr>
            <w:tcW w:w="1720" w:type="dxa"/>
            <w:shd w:val="clear" w:color="auto" w:fill="auto"/>
            <w:noWrap w:val="0"/>
            <w:vAlign w:val="top"/>
          </w:tcPr>
          <w:p>
            <w:pPr>
              <w:jc w:val="left"/>
              <w:rPr>
                <w:rFonts w:hint="eastAsia" w:ascii="宋体" w:hAnsi="宋体" w:cs="宋体"/>
                <w:sz w:val="24"/>
              </w:rPr>
            </w:pPr>
            <w:r>
              <w:rPr>
                <w:rFonts w:hint="eastAsia" w:ascii="宋体" w:hAnsi="宋体" w:cs="宋体"/>
                <w:sz w:val="24"/>
              </w:rPr>
              <w:t>安全规范宣传视频4集；</w:t>
            </w:r>
          </w:p>
          <w:p>
            <w:pPr>
              <w:jc w:val="left"/>
              <w:rPr>
                <w:rFonts w:hint="eastAsia" w:ascii="宋体" w:hAnsi="宋体" w:cs="宋体"/>
                <w:sz w:val="24"/>
              </w:rPr>
            </w:pPr>
            <w:r>
              <w:rPr>
                <w:rFonts w:hint="eastAsia" w:ascii="宋体" w:hAnsi="宋体" w:cs="宋体"/>
                <w:sz w:val="24"/>
              </w:rPr>
              <w:t>“铁小川”IP宣传视频1集</w:t>
            </w:r>
          </w:p>
        </w:tc>
        <w:tc>
          <w:tcPr>
            <w:tcW w:w="1133" w:type="dxa"/>
            <w:shd w:val="clear" w:color="auto" w:fill="auto"/>
            <w:noWrap w:val="0"/>
            <w:vAlign w:val="top"/>
          </w:tcPr>
          <w:p>
            <w:pPr>
              <w:jc w:val="left"/>
              <w:rPr>
                <w:rFonts w:hint="eastAsia" w:ascii="宋体" w:hAnsi="宋体" w:cs="宋体"/>
                <w:sz w:val="24"/>
              </w:rPr>
            </w:pPr>
            <w:r>
              <w:rPr>
                <w:rFonts w:hint="eastAsia" w:ascii="宋体" w:hAnsi="宋体" w:cs="宋体"/>
                <w:sz w:val="24"/>
              </w:rPr>
              <w:t>每集60S左右；铁小川IP宣传纯特效（3D）呈现</w:t>
            </w:r>
          </w:p>
        </w:tc>
        <w:tc>
          <w:tcPr>
            <w:tcW w:w="1110" w:type="dxa"/>
            <w:shd w:val="clear" w:color="auto" w:fill="auto"/>
            <w:noWrap w:val="0"/>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21" w:type="dxa"/>
            <w:shd w:val="clear" w:color="auto" w:fill="auto"/>
            <w:noWrap w:val="0"/>
            <w:vAlign w:val="top"/>
          </w:tcPr>
          <w:p>
            <w:pPr>
              <w:jc w:val="left"/>
              <w:rPr>
                <w:rFonts w:ascii="宋体" w:hAnsi="宋体" w:cs="宋体"/>
                <w:sz w:val="24"/>
              </w:rPr>
            </w:pPr>
            <w:r>
              <w:rPr>
                <w:rFonts w:hint="eastAsia" w:ascii="宋体" w:hAnsi="宋体" w:cs="宋体"/>
                <w:sz w:val="24"/>
              </w:rPr>
              <w:t>优惠后合计报价</w:t>
            </w:r>
          </w:p>
        </w:tc>
        <w:tc>
          <w:tcPr>
            <w:tcW w:w="3134" w:type="dxa"/>
            <w:gridSpan w:val="2"/>
            <w:shd w:val="clear" w:color="auto" w:fill="auto"/>
            <w:noWrap w:val="0"/>
            <w:vAlign w:val="top"/>
          </w:tcPr>
          <w:p>
            <w:pPr>
              <w:jc w:val="left"/>
              <w:rPr>
                <w:rFonts w:ascii="宋体" w:hAnsi="宋体" w:cs="宋体"/>
                <w:sz w:val="24"/>
              </w:rPr>
            </w:pPr>
          </w:p>
        </w:tc>
        <w:tc>
          <w:tcPr>
            <w:tcW w:w="1720" w:type="dxa"/>
            <w:shd w:val="clear" w:color="auto" w:fill="auto"/>
            <w:noWrap w:val="0"/>
            <w:vAlign w:val="top"/>
          </w:tcPr>
          <w:p>
            <w:pPr>
              <w:jc w:val="left"/>
              <w:rPr>
                <w:rFonts w:ascii="宋体" w:hAnsi="宋体" w:cs="宋体"/>
                <w:sz w:val="24"/>
              </w:rPr>
            </w:pPr>
            <w:r>
              <w:rPr>
                <w:rFonts w:hint="eastAsia" w:ascii="宋体" w:hAnsi="宋体" w:cs="宋体"/>
                <w:sz w:val="24"/>
              </w:rPr>
              <w:t>大写</w:t>
            </w:r>
          </w:p>
        </w:tc>
        <w:tc>
          <w:tcPr>
            <w:tcW w:w="2243" w:type="dxa"/>
            <w:gridSpan w:val="2"/>
            <w:shd w:val="clear" w:color="auto" w:fill="auto"/>
            <w:noWrap w:val="0"/>
            <w:vAlign w:val="top"/>
          </w:tcPr>
          <w:p>
            <w:pPr>
              <w:jc w:val="left"/>
              <w:rPr>
                <w:rFonts w:hint="eastAsia" w:ascii="宋体" w:hAnsi="宋体" w:cs="宋体"/>
                <w:sz w:val="24"/>
              </w:rPr>
            </w:pPr>
          </w:p>
        </w:tc>
      </w:tr>
    </w:tbl>
    <w:p>
      <w:pPr>
        <w:jc w:val="left"/>
        <w:rPr>
          <w:rFonts w:hint="eastAsia" w:ascii="宋体" w:hAnsi="宋体" w:cs="宋体"/>
          <w:sz w:val="24"/>
        </w:rPr>
      </w:pPr>
    </w:p>
    <w:p>
      <w:pPr>
        <w:jc w:val="left"/>
        <w:rPr>
          <w:rFonts w:hint="eastAsia" w:ascii="宋体" w:hAnsi="宋体" w:cs="宋体"/>
          <w:sz w:val="24"/>
        </w:rPr>
      </w:pPr>
    </w:p>
    <w:p>
      <w:pPr>
        <w:numPr>
          <w:ilvl w:val="1"/>
          <w:numId w:val="7"/>
        </w:numPr>
        <w:jc w:val="left"/>
        <w:rPr>
          <w:rFonts w:hint="eastAsia" w:ascii="宋体" w:hAnsi="宋体" w:cs="宋体"/>
          <w:sz w:val="24"/>
        </w:rPr>
      </w:pPr>
      <w:r>
        <w:rPr>
          <w:rFonts w:hint="eastAsia" w:ascii="宋体" w:hAnsi="宋体" w:cs="宋体"/>
          <w:sz w:val="24"/>
        </w:rPr>
        <w:t>甲乙双方确认无误后，本协议自双方签字盖章之日起立即生效并开始执行，甲方需在协议签署后3日内向乙方支付本次合作费用的70%，即</w:t>
      </w:r>
      <w:r>
        <w:rPr>
          <w:rFonts w:hint="eastAsia" w:ascii="宋体" w:hAnsi="宋体" w:cs="宋体"/>
          <w:sz w:val="24"/>
          <w:u w:val="single"/>
        </w:rPr>
        <w:t>人民币：XXXX.XXXX  大写：X万X仟X佰</w:t>
      </w:r>
      <w:r>
        <w:rPr>
          <w:rFonts w:hint="eastAsia" w:ascii="宋体" w:hAnsi="宋体" w:cs="宋体"/>
          <w:sz w:val="24"/>
        </w:rPr>
        <w:t>。待所有相关项目结束后，须向乙方支付剩余的30%款项，即</w:t>
      </w:r>
      <w:r>
        <w:rPr>
          <w:rFonts w:hint="eastAsia" w:ascii="宋体" w:hAnsi="宋体" w:cs="宋体"/>
          <w:sz w:val="24"/>
          <w:u w:val="single"/>
        </w:rPr>
        <w:t>人民币：XXXX.XXXX  大写：X万X仟X佰</w:t>
      </w:r>
      <w:r>
        <w:rPr>
          <w:rFonts w:hint="eastAsia" w:ascii="宋体" w:hAnsi="宋体" w:cs="宋体"/>
          <w:sz w:val="24"/>
        </w:rPr>
        <w:t>如甲方长期拖欠相关款项，乙方可按从最后支付期限起计算，收取滞留金，按每日总金额的2%计算。直至甲方结清相关费用为止，此条款适用于本协议内所含相关服务类别。</w:t>
      </w:r>
    </w:p>
    <w:p>
      <w:pPr>
        <w:numPr>
          <w:ilvl w:val="1"/>
          <w:numId w:val="7"/>
        </w:numPr>
        <w:jc w:val="left"/>
        <w:rPr>
          <w:rFonts w:hint="eastAsia" w:ascii="宋体" w:hAnsi="宋体" w:cs="宋体"/>
          <w:sz w:val="24"/>
        </w:rPr>
      </w:pPr>
      <w:r>
        <w:rPr>
          <w:rFonts w:hint="eastAsia" w:ascii="宋体" w:hAnsi="宋体" w:cs="宋体"/>
          <w:sz w:val="24"/>
        </w:rPr>
        <w:t>本协议内所含项目结束后，乙方需向甲方开具全额增值税普通发票。</w:t>
      </w:r>
    </w:p>
    <w:p>
      <w:pPr>
        <w:numPr>
          <w:ilvl w:val="1"/>
          <w:numId w:val="7"/>
        </w:numPr>
        <w:jc w:val="left"/>
        <w:rPr>
          <w:rFonts w:hint="eastAsia" w:ascii="宋体" w:hAnsi="宋体" w:cs="宋体"/>
          <w:sz w:val="24"/>
        </w:rPr>
      </w:pPr>
      <w:r>
        <w:rPr>
          <w:rFonts w:hint="eastAsia" w:ascii="宋体" w:hAnsi="宋体" w:cs="宋体"/>
          <w:sz w:val="24"/>
        </w:rPr>
        <w:t>协议期内，乙方需按照甲方要求完成相关项目，不得故意长期拖延，否则甲方有权向乙方索取补偿。</w:t>
      </w:r>
    </w:p>
    <w:p>
      <w:pPr>
        <w:jc w:val="left"/>
        <w:rPr>
          <w:rFonts w:hint="eastAsia" w:ascii="宋体" w:hAnsi="宋体" w:cs="宋体"/>
          <w:sz w:val="24"/>
        </w:rPr>
      </w:pPr>
    </w:p>
    <w:p>
      <w:pPr>
        <w:adjustRightInd w:val="0"/>
        <w:snapToGrid w:val="0"/>
        <w:spacing w:line="480" w:lineRule="auto"/>
        <w:jc w:val="left"/>
        <w:rPr>
          <w:rFonts w:hint="eastAsia" w:ascii="宋体" w:hAnsi="宋体" w:cs="宋体"/>
          <w:b/>
          <w:bCs/>
          <w:snapToGrid w:val="0"/>
          <w:color w:val="000000"/>
          <w:kern w:val="0"/>
          <w:sz w:val="24"/>
        </w:rPr>
      </w:pPr>
      <w:r>
        <w:rPr>
          <w:rFonts w:hint="eastAsia" w:ascii="宋体" w:hAnsi="宋体" w:cs="宋体"/>
          <w:b/>
          <w:bCs/>
          <w:snapToGrid w:val="0"/>
          <w:color w:val="000000"/>
          <w:kern w:val="0"/>
          <w:sz w:val="24"/>
        </w:rPr>
        <w:t>3、双方确认及合作变更原则</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3.1、甲乙双方经协商一致，按上述条款描述具体项目进行合作与费用结算，合作时长为____个月，即从____年____月____日起，至____年____月____日终。付款方式为银行转账，乙方收款账户为____________________________________，甲方付款账户为_________________________________________，甲乙双方需确认收付款账户无误，如其中任何一方需要变更，则需提前通知对方，经对方同意后，方可更改，否则仍按本协议所示账户进行具体费用结算，如未提前通知对方，则对方不负担任何相关责任。</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3.2、甲方确认：除非发生以下几种情况，否则甲方不存在撤销或变更本协议理由-如果撤销或变更，乙方将有权要求甲方支付撤销或变更给乙方造成的预期损失：</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A.战争或政治事件；</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B.甲方进入破产程序；</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C.甲方实体进入重组变更程序；</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D.因地震、洪水等人力不可抗拒因素；</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E.由于政策或法律变化导致服务不可能举行。</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3.3、乙方服务的变更，除非发生如下情形，否则乙方无权变更服务：</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A.服务地点出现重大自然灾害（包括急性传染病）；</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B.服务地点出现重大政治事件（包括政府征用会议场所）；</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C.出现如战争或国家出台相关强制性政策等不可抗拒性因素；</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D.乙方进入破产程序或乙方实体进入重组变更程序。</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3.4、如果不是由于上述原因，甲乙双方中任意一方要求变更具体服务条款，应该在第一时间内以书面形式通报对方，并在对方收到通知后作出变更预案供对方选择，在对方确认收到更改预案，且同意按照更改预案所列条款对原协定进行修改后，可对具体服务条款做出更改，双方需以书面形式就具体更改条款签订补充协定，若未达成共识，则按原协议内容进行合作。</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3.5、基于友好合作的精神，所有变更事宜双方同意协商解决。同时双方约定：</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甲乙双方确认，所有服务相关费用以及任何连带费用(如滞留金等)结算日期按协议内规定日期进行结算，如若一方长期拖欠相关款项，则另一方有权提前终止协议，并要求对方在结清相关费用外，另行赔偿经济损失。</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3.6、生效：本协议自双方共同签章后生效。协议一式两份，共4页，双方各执一份。</w:t>
      </w:r>
    </w:p>
    <w:p>
      <w:pPr>
        <w:adjustRightInd w:val="0"/>
        <w:snapToGrid w:val="0"/>
        <w:spacing w:line="480" w:lineRule="auto"/>
        <w:jc w:val="left"/>
        <w:rPr>
          <w:rFonts w:hint="eastAsia" w:ascii="宋体" w:hAnsi="宋体" w:cs="宋体"/>
          <w:snapToGrid w:val="0"/>
          <w:color w:val="000000"/>
          <w:kern w:val="0"/>
          <w:sz w:val="24"/>
        </w:rPr>
      </w:pPr>
      <w:r>
        <w:rPr>
          <w:rFonts w:hint="eastAsia" w:ascii="宋体" w:hAnsi="宋体" w:cs="宋体"/>
          <w:snapToGrid w:val="0"/>
          <w:color w:val="000000"/>
          <w:kern w:val="0"/>
          <w:sz w:val="24"/>
        </w:rPr>
        <w:t>3.7、未尽事宜、仲裁：双方约定，如果对本协议执行出现争议，将首先协商解决；协商不成的, 双方均有权将该争议提交位公司所在地仲裁委员会依其仲裁规则进行仲裁, 或提交司法机关进行裁定，违约方承担仲裁费用和胜诉方的律师费。</w:t>
      </w: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甲方（签字/盖章）：                      乙方（签字/盖章）：</w:t>
      </w:r>
    </w:p>
    <w:p>
      <w:pPr>
        <w:jc w:val="left"/>
        <w:rPr>
          <w:rFonts w:hint="default" w:hAnsi="宋体" w:cs="宋体"/>
          <w:sz w:val="24"/>
          <w:lang w:val="en-US" w:eastAsia="zh-CN"/>
        </w:rPr>
      </w:pPr>
      <w:r>
        <w:rPr>
          <w:rFonts w:hint="eastAsia" w:hAnsi="宋体" w:cs="宋体"/>
          <w:sz w:val="24"/>
          <w:lang w:val="en-US" w:eastAsia="zh-CN"/>
        </w:rPr>
        <w:t>开户银行：                               开户银行：</w:t>
      </w:r>
    </w:p>
    <w:p>
      <w:pPr>
        <w:jc w:val="left"/>
        <w:rPr>
          <w:rFonts w:hint="default" w:hAnsi="宋体" w:cs="宋体"/>
          <w:sz w:val="24"/>
          <w:lang w:val="en-US" w:eastAsia="zh-CN"/>
        </w:rPr>
      </w:pPr>
      <w:r>
        <w:rPr>
          <w:rFonts w:hint="eastAsia" w:hAnsi="宋体" w:cs="宋体"/>
          <w:sz w:val="24"/>
          <w:lang w:val="en-US" w:eastAsia="zh-CN"/>
        </w:rPr>
        <w:t>账号：                                   账号：</w:t>
      </w:r>
    </w:p>
    <w:p>
      <w:pPr>
        <w:jc w:val="left"/>
        <w:rPr>
          <w:rFonts w:hint="eastAsia" w:ascii="宋体" w:hAnsi="宋体" w:cs="宋体"/>
          <w:sz w:val="24"/>
        </w:rPr>
      </w:pPr>
      <w:r>
        <w:rPr>
          <w:rFonts w:hint="eastAsia" w:ascii="宋体" w:hAnsi="宋体" w:cs="宋体"/>
          <w:sz w:val="24"/>
        </w:rPr>
        <w:t xml:space="preserve">联系人：                                </w:t>
      </w:r>
      <w:r>
        <w:rPr>
          <w:rFonts w:hint="eastAsia" w:hAnsi="宋体" w:cs="宋体"/>
          <w:sz w:val="24"/>
          <w:lang w:val="en-US" w:eastAsia="zh-CN"/>
        </w:rPr>
        <w:t xml:space="preserve"> </w:t>
      </w:r>
      <w:r>
        <w:rPr>
          <w:rFonts w:hint="eastAsia" w:ascii="宋体" w:hAnsi="宋体" w:cs="宋体"/>
          <w:sz w:val="24"/>
        </w:rPr>
        <w:t>联系人：</w:t>
      </w:r>
    </w:p>
    <w:p>
      <w:pPr>
        <w:jc w:val="left"/>
        <w:rPr>
          <w:rFonts w:hint="eastAsia" w:ascii="宋体" w:hAnsi="宋体" w:cs="宋体"/>
          <w:sz w:val="24"/>
        </w:rPr>
      </w:pPr>
      <w:r>
        <w:rPr>
          <w:rFonts w:hint="eastAsia" w:ascii="宋体" w:hAnsi="宋体" w:cs="宋体"/>
          <w:sz w:val="24"/>
        </w:rPr>
        <w:t xml:space="preserve">电话：                                  </w:t>
      </w:r>
      <w:r>
        <w:rPr>
          <w:rFonts w:hint="eastAsia" w:hAnsi="宋体" w:cs="宋体"/>
          <w:sz w:val="24"/>
          <w:lang w:val="en-US" w:eastAsia="zh-CN"/>
        </w:rPr>
        <w:t xml:space="preserve"> </w:t>
      </w:r>
      <w:r>
        <w:rPr>
          <w:rFonts w:hint="eastAsia" w:ascii="宋体" w:hAnsi="宋体" w:cs="宋体"/>
          <w:sz w:val="24"/>
        </w:rPr>
        <w:t>电话：</w:t>
      </w:r>
    </w:p>
    <w:p>
      <w:pPr>
        <w:jc w:val="left"/>
        <w:rPr>
          <w:rFonts w:hint="eastAsia" w:ascii="宋体" w:hAnsi="宋体" w:cs="宋体"/>
          <w:sz w:val="24"/>
        </w:rPr>
      </w:pPr>
    </w:p>
    <w:p>
      <w:pPr>
        <w:jc w:val="left"/>
        <w:rPr>
          <w:rFonts w:hint="eastAsia" w:ascii="宋体" w:hAnsi="宋体" w:cs="宋体"/>
          <w:sz w:val="24"/>
        </w:rPr>
      </w:pPr>
    </w:p>
    <w:p>
      <w:pPr>
        <w:numPr>
          <w:ilvl w:val="0"/>
          <w:numId w:val="0"/>
        </w:numPr>
      </w:pPr>
    </w:p>
    <w:p>
      <w:pPr>
        <w:jc w:val="center"/>
      </w:pP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585" cy="280035"/>
              <wp:effectExtent l="0" t="0" r="0" b="0"/>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60288;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QXju0QAAAAMBAAAPAAAAAAAAAAEAIAAAACIAAABkcnMvZG93bnJl&#10;di54bWxQSwECFAAUAAAACACHTuJAFuDTqwQCAAADBAAADgAAAAAAAAABACAAAAAgAQAAZHJzL2Uy&#10;b0RvYy54bWxQSwUGAAAAAAYABgBZAQAAl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PSpKtEAAAADAQAADwAAAAAAAAABACAAAAAiAAAAZHJzL2Rvd25yZXYu&#10;eG1sUEsBAhQAFAAAAAgAh07iQEhDNeACAgAAAwQAAA4AAAAAAAAAAQAgAAAAIA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6535" cy="280035"/>
              <wp:effectExtent l="0" t="0" r="0" b="0"/>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1312;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PSpKtEAAAADAQAADwAAAAAAAAABACAAAAAiAAAAZHJzL2Rvd25yZXYu&#10;eG1sUEsBAhQAFAAAAAgAh07iQAtWLDwCAgAAAwQAAA4AAAAAAAAAAQAgAAAAIA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ascii="仿宋_GB2312" w:hAnsi="仿宋_GB2312" w:eastAsia="仿宋_GB2312" w:cs="仿宋_GB2312"/>
        <w:color w:val="000000" w:themeColor="text1"/>
        <w:sz w:val="21"/>
        <w:szCs w:val="21"/>
        <w14:textFill>
          <w14:solidFill>
            <w14:schemeClr w14:val="tx1"/>
          </w14:solidFill>
        </w14:textFill>
      </w:rPr>
      <w:t>“铁小川”IP打造与铁道安全规范宣传视频制作服务</w:t>
    </w:r>
    <w:r>
      <w:rPr>
        <w:rFonts w:hint="eastAsia" w:hAnsi="宋体"/>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FC7EC6BE"/>
    <w:multiLevelType w:val="multilevel"/>
    <w:tmpl w:val="FC7EC6BE"/>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8BD6061"/>
    <w:multiLevelType w:val="singleLevel"/>
    <w:tmpl w:val="48BD6061"/>
    <w:lvl w:ilvl="0" w:tentative="0">
      <w:start w:val="6"/>
      <w:numFmt w:val="chineseCounting"/>
      <w:suff w:val="space"/>
      <w:lvlText w:val="第%1章"/>
      <w:lvlJc w:val="left"/>
      <w:rPr>
        <w:rFonts w:hint="eastAsia"/>
      </w:r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069A1"/>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5DF"/>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43465"/>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B4D27"/>
    <w:rsid w:val="005C0690"/>
    <w:rsid w:val="005D660E"/>
    <w:rsid w:val="005D76BC"/>
    <w:rsid w:val="005F0F05"/>
    <w:rsid w:val="005F3651"/>
    <w:rsid w:val="005F6D20"/>
    <w:rsid w:val="006076D0"/>
    <w:rsid w:val="00620965"/>
    <w:rsid w:val="0064548D"/>
    <w:rsid w:val="0068224E"/>
    <w:rsid w:val="00691FBB"/>
    <w:rsid w:val="00695452"/>
    <w:rsid w:val="006A04FB"/>
    <w:rsid w:val="006B3B23"/>
    <w:rsid w:val="006B634A"/>
    <w:rsid w:val="006B64B2"/>
    <w:rsid w:val="006C59D1"/>
    <w:rsid w:val="006C7451"/>
    <w:rsid w:val="006E2D4D"/>
    <w:rsid w:val="006E3DDB"/>
    <w:rsid w:val="006F06EF"/>
    <w:rsid w:val="006F4716"/>
    <w:rsid w:val="00722B66"/>
    <w:rsid w:val="00731735"/>
    <w:rsid w:val="00735742"/>
    <w:rsid w:val="00737A85"/>
    <w:rsid w:val="00740C17"/>
    <w:rsid w:val="00741DE3"/>
    <w:rsid w:val="007432C8"/>
    <w:rsid w:val="00764FE2"/>
    <w:rsid w:val="0076501E"/>
    <w:rsid w:val="00767976"/>
    <w:rsid w:val="00771D10"/>
    <w:rsid w:val="007850FF"/>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96E92"/>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2666"/>
    <w:rsid w:val="00A57A27"/>
    <w:rsid w:val="00A62532"/>
    <w:rsid w:val="00A7009A"/>
    <w:rsid w:val="00A92172"/>
    <w:rsid w:val="00A9666E"/>
    <w:rsid w:val="00AA1D32"/>
    <w:rsid w:val="00AA4F6C"/>
    <w:rsid w:val="00AE0E42"/>
    <w:rsid w:val="00AE5591"/>
    <w:rsid w:val="00AE6325"/>
    <w:rsid w:val="00AE7EF8"/>
    <w:rsid w:val="00B10AC3"/>
    <w:rsid w:val="00B35C4C"/>
    <w:rsid w:val="00B57DB3"/>
    <w:rsid w:val="00B6224E"/>
    <w:rsid w:val="00B634A6"/>
    <w:rsid w:val="00B92137"/>
    <w:rsid w:val="00BA04EB"/>
    <w:rsid w:val="00BA1E3F"/>
    <w:rsid w:val="00BA7A4D"/>
    <w:rsid w:val="00BB1BA1"/>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63AA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07FA8"/>
    <w:rsid w:val="00D21B10"/>
    <w:rsid w:val="00D3708F"/>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B47C2"/>
    <w:rsid w:val="00EB7FAF"/>
    <w:rsid w:val="00EC14D2"/>
    <w:rsid w:val="00ED6EA0"/>
    <w:rsid w:val="00EE1B3C"/>
    <w:rsid w:val="00EF4DBE"/>
    <w:rsid w:val="00EF7675"/>
    <w:rsid w:val="00F05EDF"/>
    <w:rsid w:val="00F32AB9"/>
    <w:rsid w:val="00F604E1"/>
    <w:rsid w:val="00F82A64"/>
    <w:rsid w:val="00F86B39"/>
    <w:rsid w:val="00FA0D6E"/>
    <w:rsid w:val="00FC5B97"/>
    <w:rsid w:val="00FC5BDA"/>
    <w:rsid w:val="00FC6A75"/>
    <w:rsid w:val="00FC7D11"/>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2EE49F9"/>
    <w:rsid w:val="03012F7E"/>
    <w:rsid w:val="03055CCB"/>
    <w:rsid w:val="030B000A"/>
    <w:rsid w:val="032A2ABD"/>
    <w:rsid w:val="032E14C4"/>
    <w:rsid w:val="03425F66"/>
    <w:rsid w:val="035A40AD"/>
    <w:rsid w:val="036A7B56"/>
    <w:rsid w:val="03731FB8"/>
    <w:rsid w:val="039446EB"/>
    <w:rsid w:val="039C537B"/>
    <w:rsid w:val="03A03D81"/>
    <w:rsid w:val="03A32C74"/>
    <w:rsid w:val="03D332D6"/>
    <w:rsid w:val="03FC2E16"/>
    <w:rsid w:val="041462BE"/>
    <w:rsid w:val="04467D92"/>
    <w:rsid w:val="044E519E"/>
    <w:rsid w:val="04641540"/>
    <w:rsid w:val="04647342"/>
    <w:rsid w:val="04675A50"/>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CB291F"/>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3D37F2"/>
    <w:rsid w:val="0D8536BD"/>
    <w:rsid w:val="0DC44BFF"/>
    <w:rsid w:val="0DDE5050"/>
    <w:rsid w:val="0DEA0E63"/>
    <w:rsid w:val="0E317059"/>
    <w:rsid w:val="0E7D16D6"/>
    <w:rsid w:val="0E991F00"/>
    <w:rsid w:val="0E9D0906"/>
    <w:rsid w:val="0EA03F84"/>
    <w:rsid w:val="0EB4052B"/>
    <w:rsid w:val="0EBA5CB8"/>
    <w:rsid w:val="0EF21695"/>
    <w:rsid w:val="0F087F60"/>
    <w:rsid w:val="0F1550CD"/>
    <w:rsid w:val="0F2E087C"/>
    <w:rsid w:val="0F596ABB"/>
    <w:rsid w:val="0F5D0D44"/>
    <w:rsid w:val="0F6A005A"/>
    <w:rsid w:val="0FB04F4B"/>
    <w:rsid w:val="0FCF7D7E"/>
    <w:rsid w:val="100E3442"/>
    <w:rsid w:val="10170173"/>
    <w:rsid w:val="103819AC"/>
    <w:rsid w:val="105656D9"/>
    <w:rsid w:val="10717512"/>
    <w:rsid w:val="10717588"/>
    <w:rsid w:val="109A294A"/>
    <w:rsid w:val="10E4689E"/>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5D2E40"/>
    <w:rsid w:val="13935EAB"/>
    <w:rsid w:val="13BD2572"/>
    <w:rsid w:val="13DB629F"/>
    <w:rsid w:val="14044EE5"/>
    <w:rsid w:val="142976A3"/>
    <w:rsid w:val="14580FCB"/>
    <w:rsid w:val="145B58F4"/>
    <w:rsid w:val="148136C1"/>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0B0C4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45156"/>
    <w:rsid w:val="1A8E28A0"/>
    <w:rsid w:val="1AA56775"/>
    <w:rsid w:val="1AAE7552"/>
    <w:rsid w:val="1ADD2620"/>
    <w:rsid w:val="1AEB73B7"/>
    <w:rsid w:val="1AED613D"/>
    <w:rsid w:val="1B065B6B"/>
    <w:rsid w:val="1B3426D8"/>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ED61854"/>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1F748AF"/>
    <w:rsid w:val="22004956"/>
    <w:rsid w:val="22077B64"/>
    <w:rsid w:val="223076A3"/>
    <w:rsid w:val="22445CAC"/>
    <w:rsid w:val="2268661F"/>
    <w:rsid w:val="229009C2"/>
    <w:rsid w:val="22F34C27"/>
    <w:rsid w:val="230C2B7A"/>
    <w:rsid w:val="232C45F5"/>
    <w:rsid w:val="235558E1"/>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6D4CF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A97B17"/>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CE7441"/>
    <w:rsid w:val="2ED26A76"/>
    <w:rsid w:val="2EF67098"/>
    <w:rsid w:val="2F043E2F"/>
    <w:rsid w:val="2F31727D"/>
    <w:rsid w:val="2F5051AF"/>
    <w:rsid w:val="2F5B483E"/>
    <w:rsid w:val="2FA3253D"/>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4E6251"/>
    <w:rsid w:val="336268C9"/>
    <w:rsid w:val="33701470"/>
    <w:rsid w:val="337558F7"/>
    <w:rsid w:val="33BB6CF3"/>
    <w:rsid w:val="33BE2874"/>
    <w:rsid w:val="33E85C36"/>
    <w:rsid w:val="33E97114"/>
    <w:rsid w:val="342966A0"/>
    <w:rsid w:val="342B1BA3"/>
    <w:rsid w:val="34475748"/>
    <w:rsid w:val="346A4F0B"/>
    <w:rsid w:val="346D4563"/>
    <w:rsid w:val="346E7194"/>
    <w:rsid w:val="348801E5"/>
    <w:rsid w:val="348F6779"/>
    <w:rsid w:val="349C184B"/>
    <w:rsid w:val="34A15065"/>
    <w:rsid w:val="34B465B6"/>
    <w:rsid w:val="34E735DB"/>
    <w:rsid w:val="34EB7229"/>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433EE"/>
    <w:rsid w:val="386A541B"/>
    <w:rsid w:val="38777FB4"/>
    <w:rsid w:val="387F1B3D"/>
    <w:rsid w:val="38822AC1"/>
    <w:rsid w:val="388572C9"/>
    <w:rsid w:val="38D73850"/>
    <w:rsid w:val="39093C9F"/>
    <w:rsid w:val="391E6B91"/>
    <w:rsid w:val="394E4794"/>
    <w:rsid w:val="397D4DF2"/>
    <w:rsid w:val="39916502"/>
    <w:rsid w:val="39A62C24"/>
    <w:rsid w:val="39BC6E71"/>
    <w:rsid w:val="39ED5597"/>
    <w:rsid w:val="3A201269"/>
    <w:rsid w:val="3A22476C"/>
    <w:rsid w:val="3A5D0BDB"/>
    <w:rsid w:val="3A5F086E"/>
    <w:rsid w:val="3A751F6D"/>
    <w:rsid w:val="3A883217"/>
    <w:rsid w:val="3A941228"/>
    <w:rsid w:val="3AC6527A"/>
    <w:rsid w:val="3B063AE5"/>
    <w:rsid w:val="3B0A1D81"/>
    <w:rsid w:val="3B220122"/>
    <w:rsid w:val="3B251A37"/>
    <w:rsid w:val="3B806D64"/>
    <w:rsid w:val="3BB1414D"/>
    <w:rsid w:val="3BBF5492"/>
    <w:rsid w:val="3BCE7B87"/>
    <w:rsid w:val="3BED2ADE"/>
    <w:rsid w:val="3C045F86"/>
    <w:rsid w:val="3C0A7E90"/>
    <w:rsid w:val="3C2A4B41"/>
    <w:rsid w:val="3C317D4F"/>
    <w:rsid w:val="3C3E7065"/>
    <w:rsid w:val="3C62051E"/>
    <w:rsid w:val="3C9660A1"/>
    <w:rsid w:val="3CD54FDA"/>
    <w:rsid w:val="3CEE0102"/>
    <w:rsid w:val="3CFD619E"/>
    <w:rsid w:val="3D0B4E79"/>
    <w:rsid w:val="3D246E8B"/>
    <w:rsid w:val="3D313175"/>
    <w:rsid w:val="3D6E5F01"/>
    <w:rsid w:val="3D72615D"/>
    <w:rsid w:val="3D7C5679"/>
    <w:rsid w:val="3D822D1E"/>
    <w:rsid w:val="3D8E5880"/>
    <w:rsid w:val="3DA87AD2"/>
    <w:rsid w:val="3DA962B7"/>
    <w:rsid w:val="3DDF0D0F"/>
    <w:rsid w:val="3DE2791A"/>
    <w:rsid w:val="3DEE3528"/>
    <w:rsid w:val="3DF379B0"/>
    <w:rsid w:val="3DF52EB3"/>
    <w:rsid w:val="3DFD5D41"/>
    <w:rsid w:val="3E040F4F"/>
    <w:rsid w:val="3E667CEF"/>
    <w:rsid w:val="3E706080"/>
    <w:rsid w:val="3E900B33"/>
    <w:rsid w:val="3E9C23C7"/>
    <w:rsid w:val="3EAF5B65"/>
    <w:rsid w:val="3EEE694E"/>
    <w:rsid w:val="3F1E169C"/>
    <w:rsid w:val="3F282807"/>
    <w:rsid w:val="3F5301DE"/>
    <w:rsid w:val="3F5C2D71"/>
    <w:rsid w:val="3F7755AE"/>
    <w:rsid w:val="3F954B5E"/>
    <w:rsid w:val="3FBD249F"/>
    <w:rsid w:val="3FF461FC"/>
    <w:rsid w:val="3FF82684"/>
    <w:rsid w:val="4024246B"/>
    <w:rsid w:val="40464981"/>
    <w:rsid w:val="40562A1D"/>
    <w:rsid w:val="406A2535"/>
    <w:rsid w:val="406E00C4"/>
    <w:rsid w:val="40741FCD"/>
    <w:rsid w:val="408420EE"/>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C6678"/>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164DE"/>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101AF6"/>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1D44F0"/>
    <w:rsid w:val="514A216C"/>
    <w:rsid w:val="51594984"/>
    <w:rsid w:val="51AC153D"/>
    <w:rsid w:val="51DE0461"/>
    <w:rsid w:val="51E754ED"/>
    <w:rsid w:val="51F46D81"/>
    <w:rsid w:val="521066B1"/>
    <w:rsid w:val="52116C97"/>
    <w:rsid w:val="52214A5D"/>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8E5497"/>
    <w:rsid w:val="53DF5628"/>
    <w:rsid w:val="53F6304F"/>
    <w:rsid w:val="54103BF9"/>
    <w:rsid w:val="5427111E"/>
    <w:rsid w:val="542776F4"/>
    <w:rsid w:val="544817D4"/>
    <w:rsid w:val="547F7730"/>
    <w:rsid w:val="5489457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BF337E"/>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8005D2"/>
    <w:rsid w:val="5CD37BDA"/>
    <w:rsid w:val="5CD4565B"/>
    <w:rsid w:val="5CEA77FF"/>
    <w:rsid w:val="5D1E0F52"/>
    <w:rsid w:val="5D273DE0"/>
    <w:rsid w:val="5D2B27E7"/>
    <w:rsid w:val="5DB15504"/>
    <w:rsid w:val="5DE83E9E"/>
    <w:rsid w:val="5DEA73A2"/>
    <w:rsid w:val="5E0D4847"/>
    <w:rsid w:val="5E6C7060"/>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B96A60"/>
    <w:rsid w:val="61EA78B2"/>
    <w:rsid w:val="61F50583"/>
    <w:rsid w:val="620C10EB"/>
    <w:rsid w:val="622C3B9E"/>
    <w:rsid w:val="62386962"/>
    <w:rsid w:val="625008DB"/>
    <w:rsid w:val="62695C01"/>
    <w:rsid w:val="626D4608"/>
    <w:rsid w:val="629E645C"/>
    <w:rsid w:val="62BA2508"/>
    <w:rsid w:val="6303631E"/>
    <w:rsid w:val="631C34A7"/>
    <w:rsid w:val="63996E0C"/>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4F733FB"/>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360072"/>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64258B"/>
    <w:rsid w:val="69711CCD"/>
    <w:rsid w:val="69A27EDD"/>
    <w:rsid w:val="69AD29EB"/>
    <w:rsid w:val="69AF0748"/>
    <w:rsid w:val="69B82081"/>
    <w:rsid w:val="69CA3620"/>
    <w:rsid w:val="69CA7D9D"/>
    <w:rsid w:val="6A0568FD"/>
    <w:rsid w:val="6A1D1DA5"/>
    <w:rsid w:val="6A2D21C3"/>
    <w:rsid w:val="6A5E280F"/>
    <w:rsid w:val="6A7214AF"/>
    <w:rsid w:val="6A9E35F8"/>
    <w:rsid w:val="6AF503DD"/>
    <w:rsid w:val="6B3602F4"/>
    <w:rsid w:val="6B422321"/>
    <w:rsid w:val="6B425C73"/>
    <w:rsid w:val="6B6E7213"/>
    <w:rsid w:val="6B7226D7"/>
    <w:rsid w:val="6B914D8D"/>
    <w:rsid w:val="6BA01F21"/>
    <w:rsid w:val="6BD15F74"/>
    <w:rsid w:val="6BD623FB"/>
    <w:rsid w:val="6BFD03E4"/>
    <w:rsid w:val="6C2B2B8E"/>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EE36ECA"/>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D57472"/>
    <w:rsid w:val="72FA4DFF"/>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5086A"/>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767F7C"/>
    <w:rsid w:val="7F8477C4"/>
    <w:rsid w:val="7F8D612B"/>
    <w:rsid w:val="7FA347F6"/>
    <w:rsid w:val="7FBC31A1"/>
    <w:rsid w:val="7FFC2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rPr>
  </w:style>
  <w:style w:type="paragraph" w:styleId="3">
    <w:name w:val="Plain Text"/>
    <w:basedOn w:val="1"/>
    <w:link w:val="48"/>
    <w:qFormat/>
    <w:uiPriority w:val="0"/>
    <w:rPr>
      <w:rFonts w:hAnsi="Courier New"/>
      <w:kern w:val="2"/>
      <w:sz w:val="21"/>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Indent"/>
    <w:basedOn w:val="1"/>
    <w:link w:val="39"/>
    <w:qFormat/>
    <w:uiPriority w:val="0"/>
    <w:pPr>
      <w:ind w:firstLine="630"/>
    </w:pPr>
    <w:rPr>
      <w:rFonts w:ascii="Times New Roman"/>
      <w:kern w:val="2"/>
      <w:sz w:val="32"/>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9"/>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3"/>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6">
    <w:name w:val="网格型1"/>
    <w:basedOn w:val="1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27</Pages>
  <Words>9718</Words>
  <Characters>10288</Characters>
  <Lines>68</Lines>
  <Paragraphs>19</Paragraphs>
  <TotalTime>27</TotalTime>
  <ScaleCrop>false</ScaleCrop>
  <LinksUpToDate>false</LinksUpToDate>
  <CharactersWithSpaces>10740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2022-05-11T02:47:00Z</dcterms:created>
  <dc:creator>微软用户</dc:creator>
  <cp:lastModifiedBy>Administrator</cp:lastModifiedBy>
  <cp:lastPrinted>2015-08-20T10:29:00Z</cp:lastPrinted>
  <dcterms:modified xsi:type="dcterms:W3CDTF">2022-08-19T07:16:48Z</dcterms:modified>
  <dc:title>招标编号：SCSZ-2013-02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8E71B2388F4C4D6194E953D398182530</vt:lpwstr>
  </property>
</Properties>
</file>