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ind w:firstLine="3240" w:firstLineChars="900"/>
        <w:rPr>
          <w:rFonts w:hAnsi="宋体"/>
          <w:color w:val="000000"/>
          <w:sz w:val="36"/>
          <w:szCs w:val="36"/>
        </w:rPr>
      </w:pPr>
    </w:p>
    <w:p>
      <w:pPr>
        <w:snapToGrid w:val="0"/>
        <w:spacing w:line="360" w:lineRule="auto"/>
        <w:ind w:firstLine="360" w:firstLineChars="100"/>
        <w:jc w:val="center"/>
        <w:rPr>
          <w:rFonts w:hint="eastAsia" w:hAnsi="宋体" w:cs="宋体"/>
          <w:bCs/>
          <w:sz w:val="36"/>
          <w:szCs w:val="36"/>
          <w:lang w:val="en-US" w:eastAsia="zh-CN"/>
        </w:rPr>
      </w:pPr>
      <w:r>
        <w:rPr>
          <w:rFonts w:hint="eastAsia" w:hAnsi="宋体" w:cs="宋体"/>
          <w:bCs/>
          <w:sz w:val="36"/>
          <w:szCs w:val="36"/>
        </w:rPr>
        <w:t>公共教学部课程思政</w:t>
      </w:r>
      <w:r>
        <w:rPr>
          <w:rFonts w:hAnsi="宋体" w:cs="宋体"/>
          <w:bCs/>
          <w:sz w:val="36"/>
          <w:szCs w:val="36"/>
        </w:rPr>
        <w:t>建设项目</w:t>
      </w:r>
      <w:r>
        <w:rPr>
          <w:rFonts w:hint="eastAsia" w:hAnsi="宋体" w:cs="宋体"/>
          <w:bCs/>
          <w:sz w:val="36"/>
          <w:szCs w:val="36"/>
          <w:lang w:val="en-US" w:eastAsia="zh-CN"/>
        </w:rPr>
        <w:t>第2次</w:t>
      </w:r>
    </w:p>
    <w:p>
      <w:pPr>
        <w:snapToGrid w:val="0"/>
        <w:spacing w:line="360" w:lineRule="auto"/>
        <w:ind w:firstLine="300" w:firstLineChars="100"/>
        <w:jc w:val="center"/>
        <w:rPr>
          <w:rFonts w:hint="default" w:hAnsi="宋体" w:eastAsia="宋体" w:cs="宋体"/>
          <w:bCs/>
          <w:color w:val="000000" w:themeColor="text1"/>
          <w:sz w:val="30"/>
          <w:szCs w:val="30"/>
          <w:lang w:val="en-US" w:eastAsia="zh-CN"/>
          <w14:textFill>
            <w14:solidFill>
              <w14:schemeClr w14:val="tx1"/>
            </w14:solidFill>
          </w14:textFill>
        </w:rPr>
      </w:pPr>
      <w:r>
        <w:rPr>
          <w:rFonts w:hint="eastAsia" w:hAnsi="宋体" w:cs="宋体"/>
          <w:bCs/>
          <w:sz w:val="30"/>
          <w:szCs w:val="30"/>
        </w:rPr>
        <w:t>采购编号：TZY-ZB-</w:t>
      </w:r>
      <w:r>
        <w:rPr>
          <w:rFonts w:hint="eastAsia" w:hAnsi="宋体" w:cs="宋体"/>
          <w:bCs/>
          <w:color w:val="000000" w:themeColor="text1"/>
          <w:sz w:val="30"/>
          <w:szCs w:val="30"/>
          <w14:textFill>
            <w14:solidFill>
              <w14:schemeClr w14:val="tx1"/>
            </w14:solidFill>
          </w14:textFill>
        </w:rPr>
        <w:t>2022</w:t>
      </w:r>
      <w:r>
        <w:rPr>
          <w:rFonts w:hAnsi="宋体" w:cs="宋体"/>
          <w:bCs/>
          <w:color w:val="000000" w:themeColor="text1"/>
          <w:sz w:val="30"/>
          <w:szCs w:val="30"/>
          <w14:textFill>
            <w14:solidFill>
              <w14:schemeClr w14:val="tx1"/>
            </w14:solidFill>
          </w14:textFill>
        </w:rPr>
        <w:t>02</w:t>
      </w:r>
      <w:r>
        <w:rPr>
          <w:rFonts w:hint="eastAsia" w:hAnsi="宋体" w:cs="宋体"/>
          <w:bCs/>
          <w:color w:val="000000" w:themeColor="text1"/>
          <w:sz w:val="30"/>
          <w:szCs w:val="30"/>
          <w14:textFill>
            <w14:solidFill>
              <w14:schemeClr w14:val="tx1"/>
            </w14:solidFill>
          </w14:textFill>
        </w:rPr>
        <w:t>3</w:t>
      </w:r>
      <w:r>
        <w:rPr>
          <w:rFonts w:hint="eastAsia" w:hAnsi="宋体" w:cs="宋体"/>
          <w:bCs/>
          <w:color w:val="000000" w:themeColor="text1"/>
          <w:sz w:val="30"/>
          <w:szCs w:val="30"/>
          <w:lang w:val="en-US" w:eastAsia="zh-CN"/>
          <w14:textFill>
            <w14:solidFill>
              <w14:schemeClr w14:val="tx1"/>
            </w14:solidFill>
          </w14:textFill>
        </w:rPr>
        <w:t>-1</w:t>
      </w:r>
    </w:p>
    <w:p>
      <w:pPr>
        <w:snapToGrid w:val="0"/>
        <w:spacing w:line="360" w:lineRule="auto"/>
        <w:jc w:val="center"/>
        <w:rPr>
          <w:rFonts w:hAnsi="宋体" w:cs="宋体"/>
          <w:b/>
          <w:sz w:val="72"/>
          <w:szCs w:val="72"/>
        </w:rPr>
      </w:pPr>
    </w:p>
    <w:p>
      <w:pPr>
        <w:snapToGrid w:val="0"/>
        <w:spacing w:line="360" w:lineRule="auto"/>
        <w:jc w:val="center"/>
        <w:rPr>
          <w:rFonts w:hAnsi="宋体" w:cs="宋体"/>
          <w:b/>
          <w:sz w:val="72"/>
          <w:szCs w:val="72"/>
        </w:rPr>
      </w:pPr>
      <w:r>
        <w:rPr>
          <w:rFonts w:hint="eastAsia" w:hAnsi="宋体" w:cs="宋体"/>
          <w:b/>
          <w:sz w:val="72"/>
          <w:szCs w:val="72"/>
        </w:rPr>
        <w:t>招</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标</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文</w:t>
      </w:r>
    </w:p>
    <w:p>
      <w:pPr>
        <w:snapToGrid w:val="0"/>
        <w:spacing w:line="360" w:lineRule="auto"/>
        <w:jc w:val="center"/>
        <w:rPr>
          <w:rFonts w:hAnsi="宋体" w:cs="宋体"/>
          <w:b/>
          <w:sz w:val="18"/>
          <w:szCs w:val="18"/>
        </w:rPr>
      </w:pPr>
    </w:p>
    <w:p>
      <w:pPr>
        <w:snapToGrid w:val="0"/>
        <w:spacing w:line="360" w:lineRule="auto"/>
        <w:jc w:val="center"/>
        <w:rPr>
          <w:rFonts w:hAnsi="宋体" w:cs="宋体"/>
          <w:b/>
          <w:sz w:val="52"/>
          <w:szCs w:val="52"/>
        </w:rPr>
      </w:pPr>
      <w:r>
        <w:rPr>
          <w:rFonts w:hint="eastAsia" w:hAnsi="宋体" w:cs="宋体"/>
          <w:b/>
          <w:sz w:val="72"/>
          <w:szCs w:val="72"/>
        </w:rPr>
        <w:t>件</w:t>
      </w:r>
    </w:p>
    <w:p>
      <w:pPr>
        <w:autoSpaceDE w:val="0"/>
        <w:autoSpaceDN w:val="0"/>
        <w:adjustRightInd w:val="0"/>
        <w:snapToGrid w:val="0"/>
        <w:spacing w:line="360" w:lineRule="auto"/>
        <w:jc w:val="center"/>
        <w:rPr>
          <w:rFonts w:cs="宋体"/>
          <w:sz w:val="30"/>
          <w:szCs w:val="30"/>
        </w:rPr>
      </w:pPr>
    </w:p>
    <w:p>
      <w:pPr>
        <w:autoSpaceDE w:val="0"/>
        <w:autoSpaceDN w:val="0"/>
        <w:adjustRightInd w:val="0"/>
        <w:snapToGrid w:val="0"/>
        <w:spacing w:line="360" w:lineRule="auto"/>
        <w:jc w:val="center"/>
        <w:rPr>
          <w:rFonts w:cs="宋体"/>
          <w:sz w:val="30"/>
          <w:szCs w:val="30"/>
        </w:rPr>
      </w:pPr>
      <w:r>
        <w:rPr>
          <w:rFonts w:hint="eastAsia" w:cs="宋体"/>
          <w:sz w:val="30"/>
          <w:szCs w:val="30"/>
        </w:rPr>
        <w:t>采   购   人: 四川铁道职业学院</w:t>
      </w:r>
    </w:p>
    <w:p>
      <w:pPr>
        <w:snapToGrid w:val="0"/>
        <w:spacing w:line="360" w:lineRule="auto"/>
        <w:jc w:val="center"/>
        <w:rPr>
          <w:rFonts w:hAnsi="宋体" w:cs="宋体"/>
          <w:b/>
          <w:sz w:val="30"/>
          <w:szCs w:val="30"/>
        </w:rPr>
      </w:pPr>
    </w:p>
    <w:p>
      <w:pPr>
        <w:snapToGrid w:val="0"/>
        <w:spacing w:line="360" w:lineRule="auto"/>
        <w:jc w:val="center"/>
        <w:rPr>
          <w:rFonts w:hAnsi="宋体" w:cs="宋体"/>
          <w:bCs/>
          <w:sz w:val="30"/>
          <w:szCs w:val="30"/>
        </w:rPr>
      </w:pPr>
      <w:r>
        <w:rPr>
          <w:rFonts w:hint="eastAsia" w:hAnsi="宋体" w:cs="宋体"/>
          <w:bCs/>
          <w:sz w:val="30"/>
          <w:szCs w:val="30"/>
        </w:rPr>
        <w:t>四川·成都</w:t>
      </w:r>
    </w:p>
    <w:p>
      <w:pPr>
        <w:snapToGrid w:val="0"/>
        <w:spacing w:line="360" w:lineRule="auto"/>
        <w:jc w:val="center"/>
        <w:rPr>
          <w:rFonts w:hAnsi="宋体" w:cs="宋体"/>
          <w:bCs/>
          <w:sz w:val="30"/>
          <w:szCs w:val="30"/>
          <w:lang w:val="zh-CN"/>
        </w:rPr>
      </w:pPr>
      <w:r>
        <w:rPr>
          <w:rFonts w:hint="eastAsia" w:hAnsi="宋体" w:cs="宋体"/>
          <w:bCs/>
          <w:sz w:val="30"/>
          <w:szCs w:val="30"/>
        </w:rPr>
        <w:t>2022</w:t>
      </w:r>
      <w:r>
        <w:rPr>
          <w:rFonts w:hint="eastAsia" w:hAnsi="宋体" w:cs="宋体"/>
          <w:bCs/>
          <w:sz w:val="30"/>
          <w:szCs w:val="30"/>
          <w:lang w:val="zh-CN"/>
        </w:rPr>
        <w:t>年</w:t>
      </w:r>
      <w:r>
        <w:rPr>
          <w:rFonts w:hint="eastAsia" w:hAnsi="宋体" w:cs="宋体"/>
          <w:bCs/>
          <w:sz w:val="30"/>
          <w:szCs w:val="30"/>
        </w:rPr>
        <w:t xml:space="preserve"> </w:t>
      </w:r>
      <w:r>
        <w:rPr>
          <w:rFonts w:hint="eastAsia" w:hAnsi="宋体" w:cs="宋体"/>
          <w:bCs/>
          <w:sz w:val="30"/>
          <w:szCs w:val="30"/>
          <w:lang w:val="en-US" w:eastAsia="zh-CN"/>
        </w:rPr>
        <w:t>9</w:t>
      </w:r>
      <w:r>
        <w:rPr>
          <w:rFonts w:hint="eastAsia" w:hAnsi="宋体" w:cs="宋体"/>
          <w:bCs/>
          <w:sz w:val="30"/>
          <w:szCs w:val="30"/>
          <w:lang w:val="zh-CN"/>
        </w:rPr>
        <w:t>月</w:t>
      </w:r>
      <w:bookmarkStart w:id="0" w:name="_Hlt101843627"/>
      <w:bookmarkEnd w:id="0"/>
      <w:bookmarkStart w:id="1" w:name="_Hlt101233737"/>
      <w:bookmarkEnd w:id="1"/>
    </w:p>
    <w:p>
      <w:pPr>
        <w:snapToGrid w:val="0"/>
        <w:spacing w:line="360" w:lineRule="auto"/>
        <w:jc w:val="center"/>
        <w:rPr>
          <w:rFonts w:hAnsi="宋体" w:cs="宋体"/>
          <w:bCs/>
          <w:sz w:val="30"/>
          <w:szCs w:val="30"/>
          <w:lang w:val="zh-CN"/>
        </w:rPr>
      </w:pPr>
    </w:p>
    <w:p>
      <w:pPr>
        <w:snapToGrid w:val="0"/>
        <w:spacing w:line="360" w:lineRule="auto"/>
        <w:jc w:val="center"/>
        <w:rPr>
          <w:rFonts w:hAnsi="宋体" w:cs="宋体"/>
          <w:bCs/>
          <w:sz w:val="30"/>
          <w:szCs w:val="30"/>
        </w:rPr>
      </w:pPr>
    </w:p>
    <w:p>
      <w:pPr>
        <w:pStyle w:val="5"/>
        <w:snapToGrid w:val="0"/>
        <w:spacing w:before="0" w:after="0" w:line="360" w:lineRule="auto"/>
        <w:jc w:val="center"/>
        <w:rPr>
          <w:rStyle w:val="26"/>
          <w:rFonts w:ascii="宋体" w:hAnsi="宋体" w:cs="宋体"/>
          <w:color w:val="auto"/>
          <w:kern w:val="2"/>
          <w:sz w:val="44"/>
          <w:szCs w:val="44"/>
          <w:u w:val="none"/>
        </w:rPr>
      </w:pPr>
      <w:r>
        <w:rPr>
          <w:rStyle w:val="26"/>
          <w:rFonts w:hint="eastAsia" w:ascii="宋体" w:hAnsi="宋体" w:cs="宋体"/>
          <w:color w:val="auto"/>
          <w:kern w:val="2"/>
          <w:sz w:val="44"/>
          <w:szCs w:val="44"/>
          <w:u w:val="none"/>
        </w:rPr>
        <w:t>目    录</w:t>
      </w:r>
    </w:p>
    <w:p/>
    <w:p>
      <w:pPr>
        <w:pStyle w:val="15"/>
        <w:tabs>
          <w:tab w:val="right" w:leader="dot" w:pos="9175"/>
        </w:tabs>
        <w:snapToGrid w:val="0"/>
        <w:spacing w:line="480" w:lineRule="auto"/>
        <w:ind w:firstLine="840" w:firstLineChars="300"/>
        <w:rPr>
          <w:rFonts w:hAnsi="宋体" w:cs="宋体"/>
          <w:sz w:val="28"/>
          <w:szCs w:val="28"/>
        </w:rPr>
      </w:pPr>
      <w:r>
        <w:rPr>
          <w:rFonts w:hint="eastAsia" w:hAnsi="宋体" w:cs="宋体"/>
          <w:sz w:val="28"/>
          <w:szCs w:val="28"/>
        </w:rPr>
        <w:fldChar w:fldCharType="begin"/>
      </w:r>
      <w:r>
        <w:rPr>
          <w:rFonts w:hint="eastAsia" w:hAnsi="宋体" w:cs="宋体"/>
          <w:sz w:val="28"/>
          <w:szCs w:val="28"/>
        </w:rPr>
        <w:instrText xml:space="preserve"> TOC \o "1-1" \h \z \u </w:instrText>
      </w:r>
      <w:r>
        <w:rPr>
          <w:rFonts w:hint="eastAsia" w:hAnsi="宋体" w:cs="宋体"/>
          <w:sz w:val="28"/>
          <w:szCs w:val="28"/>
        </w:rPr>
        <w:fldChar w:fldCharType="separate"/>
      </w:r>
      <w:r>
        <w:fldChar w:fldCharType="begin"/>
      </w:r>
      <w:r>
        <w:instrText xml:space="preserve"> HYPERLINK \l "_Toc358883241" </w:instrText>
      </w:r>
      <w:r>
        <w:fldChar w:fldCharType="separate"/>
      </w:r>
      <w:r>
        <w:rPr>
          <w:rFonts w:hint="eastAsia" w:hAnsi="宋体" w:cs="宋体"/>
          <w:sz w:val="28"/>
          <w:szCs w:val="28"/>
        </w:rPr>
        <w:t>第一章  投标邀请</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p>
    <w:p>
      <w:pPr>
        <w:pStyle w:val="15"/>
        <w:tabs>
          <w:tab w:val="right" w:leader="dot" w:pos="9175"/>
        </w:tabs>
        <w:snapToGrid w:val="0"/>
        <w:spacing w:line="480" w:lineRule="auto"/>
        <w:ind w:firstLine="792" w:firstLineChars="233"/>
        <w:rPr>
          <w:rFonts w:hAnsi="宋体" w:cs="宋体"/>
          <w:sz w:val="28"/>
          <w:szCs w:val="28"/>
        </w:rPr>
      </w:pPr>
      <w:r>
        <w:fldChar w:fldCharType="begin"/>
      </w:r>
      <w:r>
        <w:instrText xml:space="preserve"> HYPERLINK \l "_Toc358883242" </w:instrText>
      </w:r>
      <w:r>
        <w:fldChar w:fldCharType="separate"/>
      </w:r>
      <w:r>
        <w:rPr>
          <w:rFonts w:hint="eastAsia" w:hAnsi="宋体" w:cs="宋体"/>
          <w:sz w:val="28"/>
          <w:szCs w:val="28"/>
        </w:rPr>
        <w:t>第二章  投标人须知</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t>3</w:t>
      </w:r>
    </w:p>
    <w:p>
      <w:pPr>
        <w:pStyle w:val="15"/>
        <w:tabs>
          <w:tab w:val="right" w:leader="dot" w:pos="9175"/>
        </w:tabs>
        <w:snapToGrid w:val="0"/>
        <w:spacing w:line="480" w:lineRule="auto"/>
        <w:ind w:firstLine="792" w:firstLineChars="233"/>
        <w:rPr>
          <w:rFonts w:hAnsi="宋体" w:cs="宋体"/>
          <w:sz w:val="28"/>
          <w:szCs w:val="28"/>
        </w:rPr>
      </w:pPr>
      <w:r>
        <w:fldChar w:fldCharType="begin"/>
      </w:r>
      <w:r>
        <w:instrText xml:space="preserve"> HYPERLINK \l "_Toc358883243" </w:instrText>
      </w:r>
      <w:r>
        <w:fldChar w:fldCharType="separate"/>
      </w:r>
      <w:r>
        <w:rPr>
          <w:rFonts w:hint="eastAsia" w:hAnsi="宋体" w:cs="宋体"/>
          <w:sz w:val="28"/>
          <w:szCs w:val="28"/>
        </w:rPr>
        <w:t>第三章  投标文件格式</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t>9</w:t>
      </w:r>
    </w:p>
    <w:p>
      <w:pPr>
        <w:pStyle w:val="15"/>
        <w:tabs>
          <w:tab w:val="right" w:leader="dot" w:pos="9175"/>
        </w:tabs>
        <w:snapToGrid w:val="0"/>
        <w:spacing w:line="480" w:lineRule="auto"/>
        <w:ind w:firstLine="792" w:firstLineChars="233"/>
        <w:rPr>
          <w:rFonts w:hAnsi="宋体" w:cs="宋体"/>
          <w:sz w:val="28"/>
          <w:szCs w:val="28"/>
        </w:rPr>
      </w:pPr>
      <w:r>
        <w:fldChar w:fldCharType="begin"/>
      </w:r>
      <w:r>
        <w:instrText xml:space="preserve"> HYPERLINK \l "_Toc358883246" </w:instrText>
      </w:r>
      <w:r>
        <w:fldChar w:fldCharType="separate"/>
      </w:r>
      <w:r>
        <w:rPr>
          <w:rFonts w:hint="eastAsia" w:hAnsi="宋体" w:cs="宋体"/>
          <w:sz w:val="28"/>
          <w:szCs w:val="28"/>
        </w:rPr>
        <w:t>第四章  招标项目技术、商务及其他要求</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rPr>
        <w:t>6</w:t>
      </w:r>
    </w:p>
    <w:p>
      <w:pPr>
        <w:pStyle w:val="15"/>
        <w:tabs>
          <w:tab w:val="right" w:leader="dot" w:pos="9175"/>
        </w:tabs>
        <w:snapToGrid w:val="0"/>
        <w:spacing w:line="480" w:lineRule="auto"/>
        <w:ind w:firstLine="792" w:firstLineChars="233"/>
        <w:rPr>
          <w:rFonts w:hint="default" w:hAnsi="宋体" w:eastAsia="宋体" w:cs="宋体"/>
          <w:sz w:val="28"/>
          <w:szCs w:val="28"/>
          <w:lang w:val="en-US" w:eastAsia="zh-CN"/>
        </w:rPr>
      </w:pPr>
      <w:r>
        <w:fldChar w:fldCharType="begin"/>
      </w:r>
      <w:r>
        <w:instrText xml:space="preserve"> HYPERLINK \l "_Toc358883247" </w:instrText>
      </w:r>
      <w:r>
        <w:fldChar w:fldCharType="separate"/>
      </w:r>
      <w:r>
        <w:rPr>
          <w:rFonts w:hint="eastAsia" w:hAnsi="宋体" w:cs="宋体"/>
          <w:sz w:val="28"/>
          <w:szCs w:val="28"/>
        </w:rPr>
        <w:t>第五章  评标办法</w:t>
      </w:r>
      <w:bookmarkStart w:id="2" w:name="_Hlt360036320"/>
      <w:bookmarkStart w:id="3" w:name="_Hlt360036319"/>
      <w:r>
        <w:rPr>
          <w:rFonts w:hint="eastAsia" w:hAnsi="宋体" w:cs="宋体"/>
          <w:sz w:val="28"/>
          <w:szCs w:val="28"/>
        </w:rPr>
        <w:tab/>
      </w:r>
      <w:bookmarkEnd w:id="2"/>
      <w:bookmarkEnd w:id="3"/>
      <w:r>
        <w:rPr>
          <w:rFonts w:hint="eastAsia" w:hAnsi="宋体" w:cs="宋体"/>
          <w:sz w:val="28"/>
          <w:szCs w:val="28"/>
        </w:rPr>
        <w:fldChar w:fldCharType="end"/>
      </w:r>
      <w:r>
        <w:rPr>
          <w:rFonts w:hint="eastAsia" w:hAnsi="宋体" w:cs="宋体"/>
          <w:sz w:val="28"/>
          <w:szCs w:val="28"/>
          <w:lang w:val="en-US" w:eastAsia="zh-CN"/>
        </w:rPr>
        <w:t>25</w:t>
      </w:r>
    </w:p>
    <w:p>
      <w:pPr>
        <w:pStyle w:val="15"/>
        <w:tabs>
          <w:tab w:val="right" w:leader="dot" w:pos="9175"/>
        </w:tabs>
        <w:snapToGrid w:val="0"/>
        <w:spacing w:line="480" w:lineRule="auto"/>
        <w:ind w:firstLine="792" w:firstLineChars="233"/>
        <w:rPr>
          <w:rFonts w:hint="eastAsia" w:hAnsi="宋体" w:eastAsia="宋体" w:cs="宋体"/>
          <w:sz w:val="28"/>
          <w:szCs w:val="28"/>
          <w:lang w:eastAsia="zh-CN"/>
        </w:rPr>
      </w:pPr>
      <w:r>
        <w:fldChar w:fldCharType="begin"/>
      </w:r>
      <w:r>
        <w:instrText xml:space="preserve"> HYPERLINK \l "_Toc358883248" </w:instrText>
      </w:r>
      <w:r>
        <w:fldChar w:fldCharType="separate"/>
      </w:r>
      <w:r>
        <w:rPr>
          <w:rFonts w:hint="eastAsia" w:hAnsi="宋体" w:cs="宋体"/>
          <w:sz w:val="28"/>
          <w:szCs w:val="28"/>
        </w:rPr>
        <w:t>第六章  合同主要条款</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fldChar w:fldCharType="end"/>
      </w:r>
      <w:r>
        <w:rPr>
          <w:rFonts w:hint="eastAsia" w:hAnsi="宋体" w:cs="宋体"/>
          <w:sz w:val="28"/>
          <w:szCs w:val="28"/>
        </w:rPr>
        <w:t>2</w:t>
      </w:r>
      <w:r>
        <w:rPr>
          <w:rFonts w:hint="eastAsia" w:hAnsi="宋体" w:cs="宋体"/>
          <w:sz w:val="28"/>
          <w:szCs w:val="28"/>
          <w:lang w:val="en-US" w:eastAsia="zh-CN"/>
        </w:rPr>
        <w:t>7</w:t>
      </w:r>
    </w:p>
    <w:p/>
    <w:p/>
    <w:p/>
    <w:p/>
    <w:p>
      <w:pPr>
        <w:tabs>
          <w:tab w:val="left" w:pos="1854"/>
        </w:tabs>
        <w:jc w:val="left"/>
        <w:sectPr>
          <w:headerReference r:id="rId3" w:type="default"/>
          <w:footerReference r:id="rId4" w:type="default"/>
          <w:type w:val="nextColumn"/>
          <w:pgSz w:w="11907" w:h="16840"/>
          <w:pgMar w:top="1440" w:right="1080" w:bottom="1440" w:left="1080" w:header="851" w:footer="992" w:gutter="0"/>
          <w:cols w:space="720" w:num="1"/>
          <w:docGrid w:linePitch="312" w:charSpace="0"/>
        </w:sectPr>
      </w:pPr>
      <w:r>
        <w:rPr>
          <w:rFonts w:hint="eastAsia"/>
        </w:rPr>
        <w:tab/>
      </w:r>
    </w:p>
    <w:p>
      <w:pPr>
        <w:pStyle w:val="4"/>
        <w:snapToGrid w:val="0"/>
        <w:spacing w:before="0" w:after="0" w:line="360" w:lineRule="auto"/>
        <w:jc w:val="center"/>
        <w:rPr>
          <w:rFonts w:hAnsi="宋体" w:cs="宋体"/>
          <w:sz w:val="30"/>
          <w:szCs w:val="30"/>
        </w:rPr>
      </w:pPr>
      <w:bookmarkStart w:id="4" w:name="_Toc30896"/>
      <w:r>
        <w:rPr>
          <w:rFonts w:hint="eastAsia" w:hAnsi="宋体" w:cs="宋体"/>
          <w:sz w:val="30"/>
          <w:szCs w:val="30"/>
        </w:rPr>
        <w:t>第一章  投标邀请</w:t>
      </w:r>
      <w:bookmarkEnd w:id="4"/>
    </w:p>
    <w:p>
      <w:pPr>
        <w:snapToGrid w:val="0"/>
        <w:spacing w:line="360" w:lineRule="auto"/>
        <w:ind w:firstLine="480" w:firstLineChars="200"/>
        <w:rPr>
          <w:rFonts w:ascii="仿宋_GB2312" w:hAnsi="宋体" w:eastAsia="仿宋_GB2312"/>
          <w:sz w:val="28"/>
        </w:rPr>
      </w:pPr>
      <w:r>
        <w:rPr>
          <w:rFonts w:hint="eastAsia" w:hAnsi="宋体" w:cs="宋体"/>
          <w:bCs/>
          <w:sz w:val="24"/>
          <w:szCs w:val="24"/>
          <w:u w:val="single"/>
        </w:rPr>
        <w:t xml:space="preserve">四川铁道职业学院 </w:t>
      </w:r>
      <w:r>
        <w:rPr>
          <w:rFonts w:hint="eastAsia" w:hAnsi="宋体" w:cs="宋体"/>
          <w:bCs/>
          <w:sz w:val="24"/>
          <w:szCs w:val="24"/>
        </w:rPr>
        <w:t>就</w:t>
      </w:r>
      <w:r>
        <w:rPr>
          <w:rFonts w:hint="eastAsia" w:hAnsi="宋体" w:cs="宋体"/>
          <w:bCs/>
          <w:sz w:val="24"/>
          <w:szCs w:val="24"/>
          <w:u w:val="single"/>
        </w:rPr>
        <w:t>公共教学部课程思政建设</w:t>
      </w:r>
      <w:r>
        <w:rPr>
          <w:rFonts w:hint="eastAsia" w:hAnsi="宋体" w:cs="宋体"/>
          <w:bCs/>
          <w:sz w:val="24"/>
          <w:szCs w:val="24"/>
          <w:u w:val="single"/>
          <w:lang w:val="en-US" w:eastAsia="zh-CN"/>
        </w:rPr>
        <w:t>第2次</w:t>
      </w:r>
      <w:r>
        <w:rPr>
          <w:rFonts w:hint="eastAsia" w:hAnsi="宋体" w:cs="宋体"/>
          <w:bCs/>
          <w:sz w:val="24"/>
          <w:szCs w:val="24"/>
        </w:rPr>
        <w:t>进行公开招标，兹邀请符合本次招标要求的供应商参加投标</w:t>
      </w:r>
      <w:r>
        <w:rPr>
          <w:rFonts w:hint="eastAsia" w:hAnsi="宋体" w:cs="宋体"/>
          <w:sz w:val="24"/>
          <w:szCs w:val="24"/>
        </w:rPr>
        <w:t>。</w:t>
      </w:r>
    </w:p>
    <w:p>
      <w:pPr>
        <w:pStyle w:val="9"/>
        <w:numPr>
          <w:ilvl w:val="0"/>
          <w:numId w:val="2"/>
        </w:numPr>
        <w:snapToGrid w:val="0"/>
        <w:spacing w:line="360" w:lineRule="auto"/>
        <w:ind w:firstLine="441" w:firstLineChars="183"/>
        <w:rPr>
          <w:rFonts w:hAnsi="宋体" w:cs="宋体"/>
          <w:color w:val="000000" w:themeColor="text1"/>
          <w:sz w:val="24"/>
          <w:szCs w:val="24"/>
          <w:shd w:val="clear" w:color="auto" w:fill="FFFFFF"/>
          <w14:textFill>
            <w14:solidFill>
              <w14:schemeClr w14:val="tx1"/>
            </w14:solidFill>
          </w14:textFill>
        </w:rPr>
      </w:pPr>
      <w:r>
        <w:rPr>
          <w:rFonts w:hint="eastAsia" w:ascii="宋体" w:hAnsi="宋体" w:cs="宋体"/>
          <w:b/>
          <w:sz w:val="24"/>
          <w:szCs w:val="24"/>
        </w:rPr>
        <w:t>招标编号：</w:t>
      </w:r>
      <w:r>
        <w:rPr>
          <w:rFonts w:hAnsi="宋体" w:cs="宋体"/>
          <w:color w:val="000000" w:themeColor="text1"/>
          <w:sz w:val="24"/>
          <w:szCs w:val="24"/>
          <w:shd w:val="clear" w:color="auto" w:fill="FFFFFF"/>
          <w14:textFill>
            <w14:solidFill>
              <w14:schemeClr w14:val="tx1"/>
            </w14:solidFill>
          </w14:textFill>
        </w:rPr>
        <w:t xml:space="preserve"> </w:t>
      </w:r>
      <w:r>
        <w:rPr>
          <w:rFonts w:hint="eastAsia" w:hAnsi="宋体" w:cs="宋体"/>
          <w:color w:val="000000" w:themeColor="text1"/>
          <w:sz w:val="24"/>
          <w:szCs w:val="24"/>
          <w:shd w:val="clear" w:color="auto" w:fill="FFFFFF"/>
          <w14:textFill>
            <w14:solidFill>
              <w14:schemeClr w14:val="tx1"/>
            </w14:solidFill>
          </w14:textFill>
        </w:rPr>
        <w:t>TZY--ZB-2022023</w:t>
      </w:r>
      <w:r>
        <w:rPr>
          <w:rFonts w:hint="eastAsia" w:hAnsi="宋体" w:cs="宋体"/>
          <w:color w:val="000000" w:themeColor="text1"/>
          <w:sz w:val="24"/>
          <w:szCs w:val="24"/>
          <w:shd w:val="clear" w:color="auto" w:fill="FFFFFF"/>
          <w:lang w:val="en-US" w:eastAsia="zh-CN"/>
          <w14:textFill>
            <w14:solidFill>
              <w14:schemeClr w14:val="tx1"/>
            </w14:solidFill>
          </w14:textFill>
        </w:rPr>
        <w:t>-1</w:t>
      </w:r>
    </w:p>
    <w:p>
      <w:pPr>
        <w:pStyle w:val="9"/>
        <w:numPr>
          <w:ilvl w:val="0"/>
          <w:numId w:val="2"/>
        </w:numPr>
        <w:snapToGrid w:val="0"/>
        <w:spacing w:line="360" w:lineRule="auto"/>
        <w:ind w:firstLine="441" w:firstLineChars="183"/>
        <w:rPr>
          <w:rFonts w:ascii="宋体" w:hAnsi="宋体" w:cs="宋体"/>
          <w:sz w:val="24"/>
          <w:szCs w:val="24"/>
          <w:lang w:val="zh-CN"/>
        </w:rPr>
      </w:pPr>
      <w:r>
        <w:rPr>
          <w:rFonts w:hint="eastAsia" w:ascii="宋体" w:hAnsi="宋体" w:cs="宋体"/>
          <w:b/>
          <w:sz w:val="24"/>
          <w:szCs w:val="24"/>
        </w:rPr>
        <w:t>招标项目：</w:t>
      </w:r>
      <w:r>
        <w:rPr>
          <w:rFonts w:hint="eastAsia" w:ascii="宋体" w:hAnsi="宋体" w:cs="宋体"/>
          <w:b/>
          <w:sz w:val="24"/>
          <w:szCs w:val="24"/>
          <w:u w:val="single"/>
        </w:rPr>
        <w:t xml:space="preserve">  </w:t>
      </w:r>
      <w:r>
        <w:rPr>
          <w:rFonts w:hint="eastAsia" w:hAnsi="宋体" w:cs="宋体"/>
          <w:b/>
          <w:bCs/>
          <w:sz w:val="24"/>
          <w:szCs w:val="24"/>
          <w:u w:val="single"/>
        </w:rPr>
        <w:t>公共教学部课程思政建设</w:t>
      </w:r>
      <w:r>
        <w:rPr>
          <w:rFonts w:hint="eastAsia" w:hAnsi="宋体" w:cs="宋体"/>
          <w:b/>
          <w:bCs/>
          <w:sz w:val="24"/>
          <w:szCs w:val="24"/>
          <w:u w:val="single"/>
          <w:lang w:val="en-US" w:eastAsia="zh-CN"/>
        </w:rPr>
        <w:t>第2次</w:t>
      </w:r>
      <w:r>
        <w:rPr>
          <w:rFonts w:hint="eastAsia" w:hAnsi="宋体"/>
          <w:color w:val="000000"/>
          <w:sz w:val="24"/>
          <w:szCs w:val="24"/>
          <w:u w:val="single"/>
        </w:rPr>
        <w:t xml:space="preserve"> </w:t>
      </w:r>
      <w:r>
        <w:rPr>
          <w:rFonts w:hint="eastAsia" w:ascii="宋体" w:hAnsi="宋体" w:cs="宋体"/>
          <w:bCs/>
          <w:sz w:val="24"/>
          <w:szCs w:val="24"/>
          <w:u w:val="single"/>
        </w:rPr>
        <w:t xml:space="preserve"> </w:t>
      </w:r>
      <w:r>
        <w:rPr>
          <w:rFonts w:hint="eastAsia" w:ascii="宋体" w:hAnsi="宋体" w:cs="宋体"/>
          <w:bCs/>
          <w:sz w:val="24"/>
          <w:szCs w:val="24"/>
        </w:rPr>
        <w:t>项目</w:t>
      </w:r>
    </w:p>
    <w:p>
      <w:pPr>
        <w:pStyle w:val="9"/>
        <w:snapToGrid w:val="0"/>
        <w:spacing w:line="360" w:lineRule="auto"/>
        <w:ind w:firstLine="441" w:firstLineChars="183"/>
        <w:rPr>
          <w:rFonts w:ascii="宋体" w:hAnsi="宋体" w:cs="宋体"/>
          <w:b/>
          <w:sz w:val="24"/>
          <w:szCs w:val="24"/>
        </w:rPr>
      </w:pPr>
      <w:r>
        <w:rPr>
          <w:rFonts w:hint="eastAsia" w:ascii="宋体" w:hAnsi="宋体" w:cs="宋体"/>
          <w:b/>
          <w:sz w:val="24"/>
          <w:szCs w:val="24"/>
        </w:rPr>
        <w:t>三、资金来源：</w:t>
      </w:r>
      <w:r>
        <w:rPr>
          <w:rFonts w:hint="eastAsia" w:hAnsi="宋体" w:cs="宋体"/>
          <w:bCs/>
          <w:sz w:val="24"/>
          <w:szCs w:val="24"/>
        </w:rPr>
        <w:t>财政资金</w:t>
      </w:r>
    </w:p>
    <w:p>
      <w:pPr>
        <w:pStyle w:val="9"/>
        <w:snapToGrid w:val="0"/>
        <w:spacing w:line="360" w:lineRule="auto"/>
        <w:ind w:firstLine="441" w:firstLineChars="183"/>
        <w:rPr>
          <w:rFonts w:ascii="宋体" w:hAnsi="宋体" w:cs="宋体"/>
          <w:b/>
          <w:sz w:val="24"/>
          <w:szCs w:val="24"/>
        </w:rPr>
      </w:pPr>
      <w:r>
        <w:rPr>
          <w:rFonts w:hint="eastAsia" w:ascii="宋体" w:hAnsi="宋体" w:cs="宋体"/>
          <w:b/>
          <w:sz w:val="24"/>
          <w:szCs w:val="24"/>
        </w:rPr>
        <w:t>四、招标项目简介：</w:t>
      </w:r>
    </w:p>
    <w:p>
      <w:pPr>
        <w:snapToGrid w:val="0"/>
        <w:spacing w:line="360" w:lineRule="auto"/>
        <w:ind w:firstLine="960" w:firstLineChars="400"/>
        <w:rPr>
          <w:rFonts w:hAnsi="宋体" w:cs="宋体"/>
          <w:sz w:val="24"/>
          <w:szCs w:val="24"/>
        </w:rPr>
      </w:pPr>
      <w:r>
        <w:rPr>
          <w:rFonts w:hint="eastAsia" w:hAnsi="宋体" w:cs="宋体"/>
          <w:sz w:val="24"/>
          <w:szCs w:val="24"/>
        </w:rPr>
        <w:t>详见第四章</w:t>
      </w:r>
    </w:p>
    <w:p>
      <w:pPr>
        <w:pStyle w:val="9"/>
        <w:snapToGrid w:val="0"/>
        <w:spacing w:line="360" w:lineRule="auto"/>
        <w:ind w:firstLine="441" w:firstLineChars="183"/>
        <w:rPr>
          <w:rFonts w:ascii="宋体" w:hAnsi="宋体" w:cs="宋体"/>
          <w:b/>
          <w:sz w:val="24"/>
          <w:szCs w:val="24"/>
        </w:rPr>
      </w:pPr>
      <w:r>
        <w:rPr>
          <w:rFonts w:hint="eastAsia" w:ascii="宋体" w:hAnsi="宋体" w:cs="宋体"/>
          <w:b/>
          <w:sz w:val="24"/>
          <w:szCs w:val="24"/>
        </w:rPr>
        <w:t>五、供应商参加本次政府采购活动应具备下列条件：</w:t>
      </w:r>
    </w:p>
    <w:p>
      <w:pPr>
        <w:snapToGrid w:val="0"/>
        <w:spacing w:line="360" w:lineRule="auto"/>
        <w:ind w:firstLine="480" w:firstLineChars="200"/>
        <w:rPr>
          <w:rFonts w:hAnsi="宋体" w:cs="宋体"/>
          <w:sz w:val="24"/>
          <w:szCs w:val="24"/>
        </w:rPr>
      </w:pPr>
      <w:r>
        <w:rPr>
          <w:rFonts w:hint="eastAsia" w:hAnsi="宋体" w:cs="宋体"/>
          <w:sz w:val="24"/>
          <w:szCs w:val="24"/>
        </w:rPr>
        <w:t>1.具有独立承担民事责任的能力；</w:t>
      </w:r>
    </w:p>
    <w:p>
      <w:pPr>
        <w:snapToGrid w:val="0"/>
        <w:spacing w:line="360" w:lineRule="auto"/>
        <w:ind w:firstLine="480" w:firstLineChars="200"/>
        <w:rPr>
          <w:rFonts w:hAnsi="宋体" w:cs="宋体"/>
          <w:sz w:val="24"/>
          <w:szCs w:val="24"/>
        </w:rPr>
      </w:pPr>
      <w:r>
        <w:rPr>
          <w:rFonts w:hint="eastAsia" w:hAnsi="宋体" w:cs="宋体"/>
          <w:sz w:val="24"/>
          <w:szCs w:val="24"/>
        </w:rPr>
        <w:t>2.具有良好的商业信誉和健全的财务会计制度；</w:t>
      </w:r>
    </w:p>
    <w:p>
      <w:pPr>
        <w:snapToGrid w:val="0"/>
        <w:spacing w:line="360" w:lineRule="auto"/>
        <w:ind w:firstLine="480" w:firstLineChars="200"/>
        <w:rPr>
          <w:rFonts w:hAnsi="宋体" w:cs="宋体"/>
          <w:sz w:val="24"/>
          <w:szCs w:val="24"/>
        </w:rPr>
      </w:pPr>
      <w:r>
        <w:rPr>
          <w:rFonts w:hint="eastAsia" w:hAnsi="宋体" w:cs="宋体"/>
          <w:sz w:val="24"/>
          <w:szCs w:val="24"/>
        </w:rPr>
        <w:t>3.具有履行合同所必须的设备和专业技术能力；</w:t>
      </w:r>
    </w:p>
    <w:p>
      <w:pPr>
        <w:snapToGrid w:val="0"/>
        <w:spacing w:line="360" w:lineRule="auto"/>
        <w:ind w:firstLine="480" w:firstLineChars="200"/>
        <w:rPr>
          <w:rFonts w:hAnsi="宋体" w:cs="宋体"/>
          <w:sz w:val="24"/>
          <w:szCs w:val="24"/>
        </w:rPr>
      </w:pPr>
      <w:r>
        <w:rPr>
          <w:rFonts w:hint="eastAsia" w:hAnsi="宋体" w:cs="宋体"/>
          <w:sz w:val="24"/>
          <w:szCs w:val="24"/>
        </w:rPr>
        <w:t>4.具有依法缴纳税收和社会保障资金的良好记录；</w:t>
      </w:r>
    </w:p>
    <w:p>
      <w:pPr>
        <w:snapToGrid w:val="0"/>
        <w:spacing w:line="360" w:lineRule="auto"/>
        <w:ind w:firstLine="480" w:firstLineChars="200"/>
        <w:rPr>
          <w:rFonts w:hAnsi="宋体" w:cs="宋体"/>
          <w:sz w:val="24"/>
          <w:szCs w:val="24"/>
        </w:rPr>
      </w:pPr>
      <w:r>
        <w:rPr>
          <w:rFonts w:hint="eastAsia" w:hAnsi="宋体" w:cs="宋体"/>
          <w:sz w:val="24"/>
          <w:szCs w:val="24"/>
        </w:rPr>
        <w:t>5.参加本次政府采购活动前三年内，在经营活动中没有重大违法违规记录；</w:t>
      </w:r>
    </w:p>
    <w:p>
      <w:pPr>
        <w:widowControl/>
        <w:ind w:left="716" w:leftChars="140" w:hanging="240" w:hangingChars="100"/>
        <w:jc w:val="left"/>
        <w:rPr>
          <w:rFonts w:hAnsi="宋体" w:cs="宋体"/>
          <w:sz w:val="24"/>
          <w:szCs w:val="24"/>
        </w:rPr>
      </w:pPr>
      <w:r>
        <w:rPr>
          <w:rFonts w:hint="eastAsia" w:hAnsi="宋体" w:cs="宋体"/>
          <w:sz w:val="24"/>
          <w:szCs w:val="24"/>
        </w:rPr>
        <w:t>6.供应商需提供四川省内本科或高职院校使用证明文件（</w:t>
      </w:r>
      <w:r>
        <w:rPr>
          <w:rFonts w:hAnsi="宋体" w:cs="宋体"/>
          <w:sz w:val="24"/>
          <w:szCs w:val="24"/>
          <w:lang w:bidi="ar"/>
        </w:rPr>
        <w:t>提供网络通识课程合同业绩案例</w:t>
      </w:r>
      <w:r>
        <w:rPr>
          <w:rFonts w:hint="eastAsia" w:hAnsi="宋体" w:cs="宋体"/>
          <w:sz w:val="24"/>
          <w:szCs w:val="24"/>
          <w:lang w:bidi="ar"/>
        </w:rPr>
        <w:t>）</w:t>
      </w:r>
    </w:p>
    <w:p>
      <w:pPr>
        <w:snapToGrid w:val="0"/>
        <w:spacing w:line="360" w:lineRule="auto"/>
        <w:ind w:firstLine="480" w:firstLineChars="200"/>
        <w:rPr>
          <w:rFonts w:hAnsi="宋体" w:cs="宋体"/>
          <w:sz w:val="24"/>
          <w:szCs w:val="24"/>
        </w:rPr>
      </w:pPr>
      <w:r>
        <w:rPr>
          <w:rFonts w:hint="eastAsia" w:hAnsi="宋体" w:cs="宋体"/>
          <w:sz w:val="24"/>
          <w:szCs w:val="24"/>
        </w:rPr>
        <w:t>7.法律、行政法规规定的其他条件。</w:t>
      </w:r>
    </w:p>
    <w:p>
      <w:pPr>
        <w:snapToGrid w:val="0"/>
        <w:spacing w:line="360" w:lineRule="auto"/>
        <w:ind w:firstLine="479" w:firstLineChars="199"/>
        <w:rPr>
          <w:rFonts w:hAnsi="宋体" w:cs="宋体"/>
          <w:b/>
          <w:sz w:val="24"/>
          <w:szCs w:val="24"/>
        </w:rPr>
      </w:pPr>
    </w:p>
    <w:p>
      <w:pPr>
        <w:snapToGrid w:val="0"/>
        <w:spacing w:line="360" w:lineRule="auto"/>
        <w:ind w:firstLine="479" w:firstLineChars="199"/>
        <w:rPr>
          <w:rFonts w:hAnsi="宋体" w:cs="宋体"/>
          <w:color w:val="FF0000"/>
          <w:sz w:val="24"/>
          <w:szCs w:val="24"/>
        </w:rPr>
      </w:pPr>
      <w:r>
        <w:rPr>
          <w:rFonts w:hint="eastAsia" w:hAnsi="宋体" w:cs="宋体"/>
          <w:b/>
          <w:sz w:val="24"/>
          <w:szCs w:val="24"/>
        </w:rPr>
        <w:t>六、投标截止时间和开标时间：</w:t>
      </w:r>
      <w:r>
        <w:rPr>
          <w:rFonts w:hint="eastAsia" w:hAnsi="宋体" w:cs="宋体"/>
          <w:bCs/>
          <w:sz w:val="24"/>
          <w:szCs w:val="24"/>
          <w:highlight w:val="none"/>
        </w:rPr>
        <w:t>2022年</w:t>
      </w:r>
      <w:r>
        <w:rPr>
          <w:rFonts w:hint="eastAsia" w:hAnsi="宋体" w:cs="宋体"/>
          <w:bCs/>
          <w:sz w:val="24"/>
          <w:szCs w:val="24"/>
          <w:highlight w:val="none"/>
          <w:lang w:val="en-US" w:eastAsia="zh-CN"/>
        </w:rPr>
        <w:t>9</w:t>
      </w:r>
      <w:r>
        <w:rPr>
          <w:rFonts w:hint="eastAsia" w:hAnsi="宋体" w:cs="宋体"/>
          <w:bCs/>
          <w:sz w:val="24"/>
          <w:szCs w:val="24"/>
          <w:highlight w:val="none"/>
        </w:rPr>
        <w:t>月</w:t>
      </w:r>
      <w:r>
        <w:rPr>
          <w:rFonts w:hint="eastAsia" w:hAnsi="宋体" w:cs="宋体"/>
          <w:bCs/>
          <w:sz w:val="24"/>
          <w:szCs w:val="24"/>
          <w:highlight w:val="none"/>
          <w:lang w:val="en-US" w:eastAsia="zh-CN"/>
        </w:rPr>
        <w:t>07</w:t>
      </w:r>
      <w:r>
        <w:rPr>
          <w:rFonts w:hAnsi="宋体" w:cs="宋体"/>
          <w:bCs/>
          <w:sz w:val="24"/>
          <w:szCs w:val="24"/>
          <w:highlight w:val="none"/>
        </w:rPr>
        <w:t xml:space="preserve"> </w:t>
      </w:r>
      <w:r>
        <w:rPr>
          <w:rFonts w:hint="eastAsia" w:hAnsi="宋体" w:cs="宋体"/>
          <w:bCs/>
          <w:sz w:val="24"/>
          <w:szCs w:val="24"/>
          <w:highlight w:val="none"/>
        </w:rPr>
        <w:t>日10:00</w:t>
      </w:r>
      <w:r>
        <w:rPr>
          <w:rFonts w:hint="eastAsia" w:hAnsi="宋体" w:cs="宋体"/>
          <w:sz w:val="24"/>
          <w:szCs w:val="24"/>
          <w:highlight w:val="none"/>
        </w:rPr>
        <w:t>（</w:t>
      </w:r>
      <w:r>
        <w:rPr>
          <w:rFonts w:hint="eastAsia" w:hAnsi="宋体" w:cs="宋体"/>
          <w:sz w:val="24"/>
          <w:szCs w:val="24"/>
        </w:rPr>
        <w:t>北京时间）。</w:t>
      </w:r>
    </w:p>
    <w:p>
      <w:pPr>
        <w:pStyle w:val="9"/>
        <w:snapToGrid w:val="0"/>
        <w:spacing w:line="360" w:lineRule="auto"/>
        <w:ind w:firstLine="480" w:firstLineChars="200"/>
        <w:rPr>
          <w:rFonts w:ascii="宋体" w:hAnsi="宋体" w:cs="宋体"/>
          <w:sz w:val="24"/>
          <w:szCs w:val="24"/>
        </w:rPr>
      </w:pPr>
      <w:r>
        <w:rPr>
          <w:rFonts w:hint="eastAsia" w:ascii="宋体" w:hAnsi="宋体" w:cs="宋体"/>
          <w:sz w:val="24"/>
          <w:szCs w:val="24"/>
        </w:rPr>
        <w:t>投标文件必须在投标截止时间前送达开标地点，并签到（签到地点：</w:t>
      </w:r>
      <w:r>
        <w:rPr>
          <w:rFonts w:hint="eastAsia" w:hAnsi="宋体" w:cs="宋体"/>
          <w:color w:val="000000"/>
          <w:sz w:val="24"/>
        </w:rPr>
        <w:t>成都市郫都区安德街道彭温路399号四川铁道职业学院后勤基建办公区2F开标室</w:t>
      </w:r>
      <w:r>
        <w:rPr>
          <w:rFonts w:hint="eastAsia" w:ascii="宋体" w:hAnsi="宋体" w:cs="宋体"/>
          <w:sz w:val="24"/>
          <w:szCs w:val="24"/>
        </w:rPr>
        <w:t>），若不签到的投标文件将被拒收，投标人自行承担一切后果。逾期送达或密封和标注不符合招标文件规定的投标文件恕不接受。本次招标不接受邮寄的投标文件。</w:t>
      </w:r>
    </w:p>
    <w:p>
      <w:pPr>
        <w:pStyle w:val="9"/>
        <w:snapToGrid w:val="0"/>
        <w:spacing w:line="360" w:lineRule="auto"/>
        <w:ind w:firstLine="480" w:firstLineChars="200"/>
        <w:rPr>
          <w:rFonts w:ascii="宋体" w:hAnsi="宋体" w:cs="宋体"/>
          <w:sz w:val="24"/>
          <w:szCs w:val="24"/>
        </w:rPr>
      </w:pPr>
      <w:r>
        <w:rPr>
          <w:rFonts w:hint="eastAsia" w:ascii="宋体" w:hAnsi="宋体" w:cs="宋体"/>
          <w:sz w:val="24"/>
          <w:szCs w:val="24"/>
        </w:rPr>
        <w:t>特别说明：因疫情期间，为保证安全，请前来投标的商家戴好口罩，准备健康二维码，服从学校管理，做好个人防护。</w:t>
      </w:r>
    </w:p>
    <w:p>
      <w:pPr>
        <w:pStyle w:val="9"/>
        <w:snapToGrid w:val="0"/>
        <w:spacing w:line="360" w:lineRule="auto"/>
        <w:ind w:firstLine="482" w:firstLineChars="200"/>
        <w:rPr>
          <w:rFonts w:hAnsi="宋体" w:cs="宋体"/>
          <w:b/>
          <w:bCs/>
          <w:sz w:val="24"/>
          <w:szCs w:val="24"/>
        </w:rPr>
      </w:pPr>
    </w:p>
    <w:p>
      <w:pPr>
        <w:pStyle w:val="9"/>
        <w:snapToGrid w:val="0"/>
        <w:spacing w:line="360" w:lineRule="auto"/>
        <w:ind w:firstLine="482" w:firstLineChars="200"/>
        <w:rPr>
          <w:rFonts w:ascii="宋体" w:hAnsi="宋体" w:cs="宋体"/>
          <w:sz w:val="24"/>
          <w:szCs w:val="24"/>
        </w:rPr>
      </w:pPr>
      <w:r>
        <w:rPr>
          <w:rFonts w:hint="eastAsia" w:hAnsi="宋体" w:cs="宋体"/>
          <w:b/>
          <w:bCs/>
          <w:sz w:val="24"/>
          <w:szCs w:val="24"/>
        </w:rPr>
        <w:t>七</w:t>
      </w:r>
      <w:r>
        <w:rPr>
          <w:rFonts w:hint="eastAsia" w:ascii="宋体" w:hAnsi="宋体" w:cs="宋体"/>
          <w:b/>
          <w:bCs/>
          <w:sz w:val="24"/>
          <w:szCs w:val="24"/>
        </w:rPr>
        <w:t>、</w:t>
      </w:r>
      <w:r>
        <w:rPr>
          <w:rFonts w:hint="eastAsia" w:ascii="宋体" w:hAnsi="宋体" w:cs="宋体"/>
          <w:b/>
          <w:kern w:val="0"/>
          <w:sz w:val="24"/>
          <w:szCs w:val="24"/>
        </w:rPr>
        <w:t>递交投标文件及开标地点</w:t>
      </w:r>
      <w:r>
        <w:rPr>
          <w:rFonts w:hint="eastAsia" w:ascii="宋体" w:hAnsi="宋体" w:cs="宋体"/>
          <w:sz w:val="24"/>
          <w:szCs w:val="24"/>
        </w:rPr>
        <w:t>：</w:t>
      </w:r>
      <w:r>
        <w:rPr>
          <w:rFonts w:hint="eastAsia" w:hAnsi="宋体" w:cs="宋体"/>
          <w:color w:val="000000"/>
          <w:sz w:val="24"/>
        </w:rPr>
        <w:t>成都市郫都区安德街道彭温路399号四川铁道职业学院后勤基建办公区2F开标室</w:t>
      </w:r>
      <w:r>
        <w:rPr>
          <w:rFonts w:hint="eastAsia" w:ascii="宋体" w:hAnsi="宋体" w:cs="宋体"/>
          <w:sz w:val="24"/>
          <w:szCs w:val="24"/>
        </w:rPr>
        <w:t>。</w:t>
      </w:r>
    </w:p>
    <w:p>
      <w:pPr>
        <w:pStyle w:val="58"/>
        <w:snapToGrid w:val="0"/>
        <w:ind w:firstLine="479" w:firstLineChars="199"/>
        <w:rPr>
          <w:rFonts w:hAnsi="宋体" w:cs="宋体"/>
          <w:b/>
          <w:sz w:val="24"/>
          <w:szCs w:val="24"/>
        </w:rPr>
      </w:pPr>
    </w:p>
    <w:p>
      <w:pPr>
        <w:pStyle w:val="58"/>
        <w:snapToGrid w:val="0"/>
        <w:ind w:firstLine="479" w:firstLineChars="199"/>
        <w:rPr>
          <w:rFonts w:hAnsi="宋体" w:cs="宋体"/>
          <w:b/>
          <w:sz w:val="24"/>
          <w:szCs w:val="24"/>
        </w:rPr>
      </w:pPr>
    </w:p>
    <w:p>
      <w:pPr>
        <w:pStyle w:val="58"/>
        <w:snapToGrid w:val="0"/>
        <w:ind w:firstLine="479" w:firstLineChars="199"/>
        <w:rPr>
          <w:rFonts w:hAnsi="宋体" w:cs="宋体"/>
          <w:b/>
          <w:sz w:val="24"/>
          <w:szCs w:val="24"/>
        </w:rPr>
      </w:pPr>
    </w:p>
    <w:p>
      <w:pPr>
        <w:pStyle w:val="58"/>
        <w:snapToGrid w:val="0"/>
        <w:ind w:firstLine="479" w:firstLineChars="199"/>
        <w:rPr>
          <w:rFonts w:hAnsi="宋体" w:cs="宋体"/>
          <w:b/>
          <w:sz w:val="24"/>
          <w:szCs w:val="24"/>
        </w:rPr>
      </w:pPr>
    </w:p>
    <w:p>
      <w:pPr>
        <w:pStyle w:val="58"/>
        <w:snapToGrid w:val="0"/>
        <w:ind w:firstLine="961" w:firstLineChars="399"/>
        <w:rPr>
          <w:rFonts w:hAnsi="宋体" w:cs="宋体"/>
          <w:b/>
          <w:sz w:val="24"/>
          <w:szCs w:val="24"/>
        </w:rPr>
      </w:pPr>
      <w:r>
        <w:rPr>
          <w:rFonts w:hint="eastAsia" w:hAnsi="宋体" w:cs="宋体"/>
          <w:b/>
          <w:sz w:val="24"/>
          <w:szCs w:val="24"/>
        </w:rPr>
        <w:t>八、联系方式</w:t>
      </w:r>
    </w:p>
    <w:p>
      <w:pPr>
        <w:pStyle w:val="58"/>
        <w:snapToGrid w:val="0"/>
        <w:ind w:firstLine="950" w:firstLineChars="396"/>
        <w:rPr>
          <w:rFonts w:hAnsi="宋体" w:cs="宋体"/>
          <w:snapToGrid w:val="0"/>
          <w:sz w:val="24"/>
        </w:rPr>
      </w:pPr>
      <w:r>
        <w:rPr>
          <w:rFonts w:hint="eastAsia" w:hAnsi="宋体" w:cs="宋体"/>
          <w:snapToGrid w:val="0"/>
          <w:sz w:val="24"/>
        </w:rPr>
        <w:t>采 购 人：四川铁道职业学院</w:t>
      </w:r>
    </w:p>
    <w:p>
      <w:pPr>
        <w:pStyle w:val="58"/>
        <w:snapToGrid w:val="0"/>
        <w:ind w:firstLine="919" w:firstLineChars="383"/>
        <w:rPr>
          <w:rFonts w:hAnsi="宋体" w:cs="宋体"/>
          <w:color w:val="000000"/>
          <w:sz w:val="24"/>
          <w:highlight w:val="yellow"/>
        </w:rPr>
      </w:pPr>
      <w:r>
        <w:rPr>
          <w:rFonts w:hint="eastAsia" w:hAnsi="宋体" w:cs="宋体"/>
          <w:bCs/>
          <w:color w:val="000000"/>
          <w:sz w:val="24"/>
        </w:rPr>
        <w:t>地    址：</w:t>
      </w:r>
      <w:r>
        <w:rPr>
          <w:rFonts w:hint="eastAsia" w:hAnsi="宋体" w:cs="宋体"/>
          <w:color w:val="000000"/>
          <w:sz w:val="24"/>
        </w:rPr>
        <w:t>成都市郫都区安德街道彭温路399号</w:t>
      </w:r>
    </w:p>
    <w:p>
      <w:pPr>
        <w:pStyle w:val="58"/>
        <w:snapToGrid w:val="0"/>
        <w:ind w:firstLine="960" w:firstLineChars="400"/>
        <w:rPr>
          <w:rFonts w:hAnsi="宋体" w:cs="宋体"/>
          <w:sz w:val="24"/>
        </w:rPr>
      </w:pPr>
      <w:r>
        <w:rPr>
          <w:rFonts w:hint="eastAsia" w:hAnsi="宋体" w:cs="宋体"/>
          <w:color w:val="000000"/>
          <w:sz w:val="24"/>
        </w:rPr>
        <w:t>联 系 人：</w:t>
      </w:r>
      <w:r>
        <w:rPr>
          <w:rFonts w:hint="eastAsia" w:hAnsi="宋体" w:cs="宋体"/>
          <w:sz w:val="24"/>
        </w:rPr>
        <w:t>贺老师 、李老师</w:t>
      </w:r>
    </w:p>
    <w:p>
      <w:pPr>
        <w:pStyle w:val="58"/>
        <w:snapToGrid w:val="0"/>
        <w:ind w:firstLine="919" w:firstLineChars="383"/>
        <w:rPr>
          <w:rFonts w:hAnsi="宋体" w:cs="宋体"/>
          <w:color w:val="000000"/>
          <w:sz w:val="24"/>
        </w:rPr>
      </w:pPr>
      <w:r>
        <w:rPr>
          <w:rFonts w:hint="eastAsia" w:hAnsi="宋体" w:cs="宋体"/>
          <w:color w:val="000000"/>
          <w:sz w:val="24"/>
        </w:rPr>
        <w:t xml:space="preserve">联系电话：028-68939875 </w:t>
      </w:r>
      <w:r>
        <w:rPr>
          <w:rFonts w:hint="eastAsia" w:hAnsi="宋体" w:cs="宋体"/>
          <w:color w:val="000000"/>
          <w:sz w:val="24"/>
          <w:lang w:eastAsia="zh-CN"/>
        </w:rPr>
        <w:t>、</w:t>
      </w:r>
      <w:r>
        <w:rPr>
          <w:rFonts w:hint="eastAsia" w:hAnsi="宋体" w:cs="宋体"/>
          <w:color w:val="000000"/>
          <w:sz w:val="24"/>
        </w:rPr>
        <w:t xml:space="preserve"> 68939887</w:t>
      </w:r>
    </w:p>
    <w:p>
      <w:pPr>
        <w:pStyle w:val="58"/>
        <w:snapToGrid w:val="0"/>
        <w:ind w:firstLine="919" w:firstLineChars="383"/>
        <w:rPr>
          <w:rFonts w:hAnsi="宋体"/>
          <w:sz w:val="24"/>
          <w:szCs w:val="28"/>
        </w:rPr>
      </w:pPr>
      <w:r>
        <w:rPr>
          <w:rFonts w:hint="eastAsia" w:hAnsi="宋体" w:cs="宋体"/>
          <w:sz w:val="24"/>
        </w:rPr>
        <w:t xml:space="preserve">                   </w:t>
      </w:r>
      <w:r>
        <w:rPr>
          <w:rFonts w:hint="eastAsia" w:hAnsi="宋体" w:cs="宋体"/>
          <w:sz w:val="24"/>
        </w:rPr>
        <w:tab/>
      </w:r>
    </w:p>
    <w:p>
      <w:pPr>
        <w:pStyle w:val="19"/>
        <w:snapToGrid w:val="0"/>
        <w:spacing w:before="0" w:beforeAutospacing="0" w:after="0" w:afterAutospacing="0" w:line="360" w:lineRule="auto"/>
        <w:ind w:right="480"/>
        <w:rPr>
          <w:rFonts w:cs="宋体"/>
          <w:sz w:val="24"/>
          <w:szCs w:val="24"/>
        </w:rPr>
        <w:sectPr>
          <w:footerReference r:id="rId5" w:type="default"/>
          <w:pgSz w:w="11907" w:h="16840"/>
          <w:pgMar w:top="1440" w:right="1080" w:bottom="1440" w:left="1080" w:header="851" w:footer="992" w:gutter="0"/>
          <w:pgNumType w:start="1"/>
          <w:cols w:space="720" w:num="1"/>
          <w:docGrid w:linePitch="312" w:charSpace="0"/>
        </w:sectPr>
      </w:pPr>
    </w:p>
    <w:p>
      <w:pPr>
        <w:pStyle w:val="4"/>
        <w:snapToGrid w:val="0"/>
        <w:spacing w:before="0" w:after="0" w:line="360" w:lineRule="auto"/>
        <w:jc w:val="center"/>
        <w:rPr>
          <w:rFonts w:hAnsi="宋体" w:cs="宋体"/>
          <w:sz w:val="30"/>
          <w:szCs w:val="30"/>
        </w:rPr>
      </w:pPr>
      <w:bookmarkStart w:id="5" w:name="_Toc213396945"/>
      <w:bookmarkStart w:id="6" w:name="_Toc358883242"/>
      <w:bookmarkStart w:id="7" w:name="_Toc213397009"/>
      <w:bookmarkStart w:id="8" w:name="_Toc213396759"/>
      <w:bookmarkStart w:id="9" w:name="_Toc213496267"/>
      <w:bookmarkStart w:id="10" w:name="_Toc217446031"/>
      <w:r>
        <w:rPr>
          <w:rFonts w:hint="eastAsia" w:hAnsi="宋体" w:cs="宋体"/>
          <w:sz w:val="30"/>
          <w:szCs w:val="30"/>
        </w:rPr>
        <w:t>第二章  投标人须知</w:t>
      </w:r>
      <w:bookmarkEnd w:id="5"/>
      <w:bookmarkEnd w:id="6"/>
      <w:bookmarkEnd w:id="7"/>
      <w:bookmarkEnd w:id="8"/>
      <w:bookmarkEnd w:id="9"/>
      <w:bookmarkEnd w:id="10"/>
    </w:p>
    <w:p>
      <w:pPr>
        <w:pStyle w:val="5"/>
        <w:snapToGrid w:val="0"/>
        <w:spacing w:before="0" w:after="0" w:line="360" w:lineRule="auto"/>
        <w:jc w:val="center"/>
        <w:rPr>
          <w:rFonts w:ascii="宋体" w:hAnsi="宋体" w:eastAsia="宋体" w:cs="宋体"/>
          <w:sz w:val="30"/>
          <w:szCs w:val="30"/>
        </w:rPr>
      </w:pPr>
      <w:bookmarkStart w:id="11" w:name="_Toc213396760"/>
      <w:bookmarkStart w:id="12" w:name="_Toc213496268"/>
      <w:bookmarkStart w:id="13" w:name="_Toc213396946"/>
      <w:bookmarkStart w:id="14" w:name="_Toc217446032"/>
      <w:bookmarkStart w:id="15" w:name="_Toc213397010"/>
      <w:bookmarkStart w:id="16" w:name="_Toc189727030"/>
      <w:r>
        <w:rPr>
          <w:rFonts w:hint="eastAsia" w:ascii="宋体" w:hAnsi="宋体" w:eastAsia="宋体" w:cs="宋体"/>
          <w:sz w:val="30"/>
          <w:szCs w:val="30"/>
        </w:rPr>
        <w:t>一、投标人须知附表</w:t>
      </w:r>
      <w:bookmarkEnd w:id="11"/>
      <w:bookmarkEnd w:id="12"/>
      <w:bookmarkEnd w:id="13"/>
      <w:bookmarkEnd w:id="14"/>
      <w:bookmarkEnd w:id="15"/>
      <w:bookmarkEnd w:id="16"/>
    </w:p>
    <w:tbl>
      <w:tblPr>
        <w:tblStyle w:val="20"/>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1"/>
        <w:gridCol w:w="1916"/>
        <w:gridCol w:w="68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4" w:hRule="exact"/>
          <w:tblHeader/>
          <w:jc w:val="center"/>
        </w:trPr>
        <w:tc>
          <w:tcPr>
            <w:tcW w:w="771" w:type="dxa"/>
            <w:vAlign w:val="center"/>
          </w:tcPr>
          <w:p>
            <w:pPr>
              <w:pStyle w:val="60"/>
              <w:snapToGrid w:val="0"/>
              <w:spacing w:line="360" w:lineRule="auto"/>
              <w:jc w:val="center"/>
              <w:rPr>
                <w:lang w:val="zh-CN"/>
              </w:rPr>
            </w:pPr>
            <w:r>
              <w:rPr>
                <w:rFonts w:hint="eastAsia"/>
                <w:lang w:val="zh-CN"/>
              </w:rPr>
              <w:t xml:space="preserve">序号 </w:t>
            </w:r>
          </w:p>
        </w:tc>
        <w:tc>
          <w:tcPr>
            <w:tcW w:w="1916" w:type="dxa"/>
            <w:vAlign w:val="center"/>
          </w:tcPr>
          <w:p>
            <w:pPr>
              <w:pStyle w:val="60"/>
              <w:snapToGrid w:val="0"/>
              <w:spacing w:line="360" w:lineRule="auto"/>
              <w:jc w:val="center"/>
              <w:rPr>
                <w:lang w:val="zh-CN"/>
              </w:rPr>
            </w:pPr>
            <w:r>
              <w:rPr>
                <w:rFonts w:hint="eastAsia"/>
                <w:lang w:val="zh-CN"/>
              </w:rPr>
              <w:t xml:space="preserve">应知事项 </w:t>
            </w:r>
          </w:p>
        </w:tc>
        <w:tc>
          <w:tcPr>
            <w:tcW w:w="6819" w:type="dxa"/>
            <w:vAlign w:val="center"/>
          </w:tcPr>
          <w:p>
            <w:pPr>
              <w:pStyle w:val="60"/>
              <w:snapToGrid w:val="0"/>
              <w:spacing w:line="360" w:lineRule="auto"/>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84" w:hRule="exact"/>
          <w:jc w:val="center"/>
        </w:trPr>
        <w:tc>
          <w:tcPr>
            <w:tcW w:w="771" w:type="dxa"/>
            <w:vAlign w:val="center"/>
          </w:tcPr>
          <w:p>
            <w:pPr>
              <w:pStyle w:val="60"/>
              <w:snapToGrid w:val="0"/>
              <w:spacing w:line="360" w:lineRule="auto"/>
              <w:jc w:val="center"/>
            </w:pPr>
            <w:r>
              <w:rPr>
                <w:rFonts w:hint="eastAsia"/>
              </w:rPr>
              <w:t>1</w:t>
            </w:r>
          </w:p>
        </w:tc>
        <w:tc>
          <w:tcPr>
            <w:tcW w:w="1916" w:type="dxa"/>
            <w:vAlign w:val="center"/>
          </w:tcPr>
          <w:p>
            <w:pPr>
              <w:pStyle w:val="60"/>
              <w:snapToGrid w:val="0"/>
              <w:spacing w:line="360" w:lineRule="auto"/>
              <w:jc w:val="center"/>
              <w:rPr>
                <w:lang w:val="zh-CN"/>
              </w:rPr>
            </w:pPr>
            <w:r>
              <w:rPr>
                <w:rFonts w:hint="eastAsia"/>
                <w:lang w:val="zh-CN"/>
              </w:rPr>
              <w:t>采购人</w:t>
            </w:r>
          </w:p>
        </w:tc>
        <w:tc>
          <w:tcPr>
            <w:tcW w:w="6819" w:type="dxa"/>
            <w:vAlign w:val="center"/>
          </w:tcPr>
          <w:p>
            <w:pPr>
              <w:pStyle w:val="58"/>
              <w:snapToGrid w:val="0"/>
              <w:ind w:firstLine="228" w:firstLineChars="95"/>
              <w:rPr>
                <w:rFonts w:hAnsi="宋体" w:cs="宋体"/>
                <w:sz w:val="24"/>
                <w:szCs w:val="24"/>
                <w:lang w:val="zh-CN"/>
              </w:rPr>
            </w:pPr>
            <w:r>
              <w:rPr>
                <w:rFonts w:hint="eastAsia" w:hAnsi="宋体" w:cs="宋体"/>
                <w:sz w:val="24"/>
                <w:szCs w:val="24"/>
                <w:lang w:val="zh-CN"/>
              </w:rPr>
              <w:t>名称：</w:t>
            </w:r>
            <w:r>
              <w:rPr>
                <w:rFonts w:hint="eastAsia" w:hAnsi="宋体" w:cs="宋体"/>
                <w:sz w:val="24"/>
                <w:szCs w:val="24"/>
              </w:rPr>
              <w:t>四川铁道职业学院</w:t>
            </w:r>
          </w:p>
          <w:p>
            <w:pPr>
              <w:pStyle w:val="60"/>
              <w:snapToGrid w:val="0"/>
              <w:spacing w:line="360" w:lineRule="auto"/>
              <w:ind w:firstLine="240" w:firstLineChars="100"/>
              <w:rPr>
                <w:lang w:val="zh-CN"/>
              </w:rPr>
            </w:pPr>
            <w:r>
              <w:rPr>
                <w:rFonts w:hint="eastAsia"/>
                <w:lang w:val="zh-CN"/>
              </w:rPr>
              <w:t>地址：</w:t>
            </w:r>
            <w:r>
              <w:rPr>
                <w:rFonts w:hint="eastAsia"/>
              </w:rPr>
              <w:t>四川成都郫都区安德街道彭温路399号</w:t>
            </w:r>
          </w:p>
          <w:p>
            <w:pPr>
              <w:pStyle w:val="60"/>
              <w:snapToGrid w:val="0"/>
              <w:spacing w:line="360" w:lineRule="auto"/>
              <w:ind w:firstLine="240" w:firstLineChars="100"/>
              <w:rPr>
                <w:lang w:val="zh-CN"/>
              </w:rPr>
            </w:pPr>
            <w:r>
              <w:rPr>
                <w:rFonts w:hint="eastAsia"/>
                <w:lang w:val="zh-CN"/>
              </w:rPr>
              <w:t>联 系 人：贺老师、李老师</w:t>
            </w:r>
          </w:p>
          <w:p>
            <w:pPr>
              <w:pStyle w:val="60"/>
              <w:snapToGrid w:val="0"/>
              <w:spacing w:line="360" w:lineRule="auto"/>
              <w:ind w:firstLine="240" w:firstLineChars="100"/>
              <w:rPr>
                <w:rFonts w:hint="default" w:eastAsia="宋体"/>
                <w:lang w:val="en-US" w:eastAsia="zh-CN"/>
              </w:rPr>
            </w:pPr>
            <w:r>
              <w:rPr>
                <w:rFonts w:hint="eastAsia"/>
                <w:lang w:val="zh-CN"/>
              </w:rPr>
              <w:t>联系电话：</w:t>
            </w:r>
            <w:r>
              <w:rPr>
                <w:rFonts w:hint="eastAsia"/>
              </w:rPr>
              <w:t>68939875</w:t>
            </w:r>
            <w:r>
              <w:rPr>
                <w:rFonts w:hint="eastAsia"/>
                <w:lang w:eastAsia="zh-CN"/>
              </w:rPr>
              <w:t>、</w:t>
            </w:r>
            <w:r>
              <w:rPr>
                <w:rFonts w:hint="eastAsia"/>
                <w:lang w:val="en-US" w:eastAsia="zh-CN"/>
              </w:rPr>
              <w:t>68939887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0" w:hRule="atLeast"/>
          <w:jc w:val="center"/>
        </w:trPr>
        <w:tc>
          <w:tcPr>
            <w:tcW w:w="771" w:type="dxa"/>
            <w:vAlign w:val="center"/>
          </w:tcPr>
          <w:p>
            <w:pPr>
              <w:pStyle w:val="60"/>
              <w:snapToGrid w:val="0"/>
              <w:spacing w:line="360" w:lineRule="auto"/>
              <w:jc w:val="center"/>
            </w:pPr>
            <w:r>
              <w:rPr>
                <w:rFonts w:hint="eastAsia"/>
              </w:rPr>
              <w:t>2</w:t>
            </w:r>
          </w:p>
        </w:tc>
        <w:tc>
          <w:tcPr>
            <w:tcW w:w="1916" w:type="dxa"/>
            <w:vAlign w:val="center"/>
          </w:tcPr>
          <w:p>
            <w:pPr>
              <w:pStyle w:val="60"/>
              <w:snapToGrid w:val="0"/>
              <w:spacing w:line="360" w:lineRule="auto"/>
              <w:ind w:firstLine="240" w:firstLineChars="100"/>
              <w:jc w:val="center"/>
              <w:rPr>
                <w:lang w:val="zh-CN"/>
              </w:rPr>
            </w:pPr>
            <w:r>
              <w:rPr>
                <w:rFonts w:hint="eastAsia"/>
                <w:lang w:val="zh-CN"/>
              </w:rPr>
              <w:t>项目名称</w:t>
            </w:r>
          </w:p>
        </w:tc>
        <w:tc>
          <w:tcPr>
            <w:tcW w:w="6819" w:type="dxa"/>
            <w:vAlign w:val="center"/>
          </w:tcPr>
          <w:p>
            <w:pPr>
              <w:pStyle w:val="9"/>
              <w:snapToGrid w:val="0"/>
              <w:ind w:firstLine="0"/>
              <w:jc w:val="left"/>
              <w:rPr>
                <w:rFonts w:hint="default" w:eastAsia="宋体"/>
                <w:lang w:val="en-US" w:eastAsia="zh-CN"/>
              </w:rPr>
            </w:pPr>
            <w:r>
              <w:rPr>
                <w:rFonts w:hint="eastAsia" w:hAnsi="宋体" w:cs="宋体"/>
                <w:bCs/>
                <w:sz w:val="24"/>
                <w:szCs w:val="24"/>
              </w:rPr>
              <w:t>公共教学部课程思政建设</w:t>
            </w:r>
            <w:r>
              <w:rPr>
                <w:rFonts w:hint="eastAsia" w:hAnsi="宋体" w:cs="宋体"/>
                <w:bCs/>
                <w:sz w:val="24"/>
                <w:szCs w:val="24"/>
                <w:lang w:val="en-US" w:eastAsia="zh-CN"/>
              </w:rPr>
              <w:t>第2次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2" w:hRule="atLeast"/>
          <w:jc w:val="center"/>
        </w:trPr>
        <w:tc>
          <w:tcPr>
            <w:tcW w:w="771" w:type="dxa"/>
            <w:vAlign w:val="center"/>
          </w:tcPr>
          <w:p>
            <w:pPr>
              <w:pStyle w:val="60"/>
              <w:snapToGrid w:val="0"/>
              <w:spacing w:line="360" w:lineRule="auto"/>
              <w:jc w:val="center"/>
            </w:pPr>
            <w:r>
              <w:rPr>
                <w:rFonts w:hint="eastAsia"/>
              </w:rPr>
              <w:t>3</w:t>
            </w:r>
          </w:p>
        </w:tc>
        <w:tc>
          <w:tcPr>
            <w:tcW w:w="1916" w:type="dxa"/>
            <w:vAlign w:val="center"/>
          </w:tcPr>
          <w:p>
            <w:pPr>
              <w:pStyle w:val="60"/>
              <w:snapToGrid w:val="0"/>
              <w:spacing w:line="360" w:lineRule="auto"/>
              <w:ind w:firstLine="240" w:firstLineChars="100"/>
              <w:jc w:val="center"/>
              <w:rPr>
                <w:lang w:val="zh-CN"/>
              </w:rPr>
            </w:pPr>
            <w:r>
              <w:rPr>
                <w:rFonts w:hint="eastAsia"/>
                <w:lang w:val="zh-CN"/>
              </w:rPr>
              <w:t>招标编号</w:t>
            </w:r>
          </w:p>
        </w:tc>
        <w:tc>
          <w:tcPr>
            <w:tcW w:w="6819" w:type="dxa"/>
            <w:vAlign w:val="center"/>
          </w:tcPr>
          <w:p>
            <w:pPr>
              <w:pStyle w:val="60"/>
              <w:snapToGrid w:val="0"/>
              <w:spacing w:line="360" w:lineRule="auto"/>
              <w:rPr>
                <w:rFonts w:hint="default" w:eastAsia="宋体"/>
                <w:lang w:val="en-US" w:eastAsia="zh-CN"/>
              </w:rPr>
            </w:pPr>
            <w:r>
              <w:rPr>
                <w:rFonts w:hint="eastAsia"/>
                <w:color w:val="000000" w:themeColor="text1"/>
                <w14:textFill>
                  <w14:solidFill>
                    <w14:schemeClr w14:val="tx1"/>
                  </w14:solidFill>
                </w14:textFill>
              </w:rPr>
              <w:t>TZY-ZB-2022023</w:t>
            </w:r>
            <w:r>
              <w:rPr>
                <w:rFonts w:hint="eastAsia"/>
                <w:color w:val="000000" w:themeColor="text1"/>
                <w:lang w:val="en-US" w:eastAsia="zh-CN"/>
                <w14:textFill>
                  <w14:solidFill>
                    <w14:schemeClr w14:val="tx1"/>
                  </w14:solidFill>
                </w14:textFill>
              </w:rPr>
              <w:t>-1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pPr>
            <w:r>
              <w:rPr>
                <w:rFonts w:hint="eastAsia"/>
              </w:rPr>
              <w:t>4</w:t>
            </w:r>
          </w:p>
        </w:tc>
        <w:tc>
          <w:tcPr>
            <w:tcW w:w="1916" w:type="dxa"/>
            <w:vAlign w:val="center"/>
          </w:tcPr>
          <w:p>
            <w:pPr>
              <w:pStyle w:val="60"/>
              <w:snapToGrid w:val="0"/>
              <w:spacing w:line="360" w:lineRule="auto"/>
              <w:ind w:firstLine="240" w:firstLineChars="100"/>
              <w:jc w:val="center"/>
              <w:rPr>
                <w:lang w:val="zh-CN"/>
              </w:rPr>
            </w:pPr>
            <w:r>
              <w:rPr>
                <w:rFonts w:hint="eastAsia"/>
                <w:lang w:val="zh-CN"/>
              </w:rPr>
              <w:t>资金来源</w:t>
            </w:r>
          </w:p>
        </w:tc>
        <w:tc>
          <w:tcPr>
            <w:tcW w:w="6819" w:type="dxa"/>
            <w:vAlign w:val="center"/>
          </w:tcPr>
          <w:p>
            <w:pPr>
              <w:pStyle w:val="60"/>
              <w:snapToGrid w:val="0"/>
              <w:spacing w:line="360" w:lineRule="auto"/>
              <w:ind w:firstLine="240" w:firstLineChars="100"/>
            </w:pPr>
            <w:r>
              <w:rPr>
                <w:rFonts w:hint="eastAsia"/>
              </w:rPr>
              <w:t>财政资金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rPr>
                <w:lang w:val="zh-CN"/>
              </w:rPr>
            </w:pPr>
            <w:r>
              <w:rPr>
                <w:rFonts w:hint="eastAsia"/>
              </w:rPr>
              <w:t>5</w:t>
            </w:r>
          </w:p>
        </w:tc>
        <w:tc>
          <w:tcPr>
            <w:tcW w:w="1916" w:type="dxa"/>
            <w:vAlign w:val="center"/>
          </w:tcPr>
          <w:p>
            <w:pPr>
              <w:pStyle w:val="60"/>
              <w:snapToGrid w:val="0"/>
              <w:spacing w:line="360" w:lineRule="auto"/>
              <w:ind w:firstLine="240" w:firstLineChars="100"/>
              <w:jc w:val="center"/>
              <w:rPr>
                <w:lang w:val="zh-CN"/>
              </w:rPr>
            </w:pPr>
            <w:r>
              <w:rPr>
                <w:rFonts w:hint="eastAsia"/>
                <w:lang w:val="zh-CN"/>
              </w:rPr>
              <w:t>预算金额</w:t>
            </w:r>
          </w:p>
        </w:tc>
        <w:tc>
          <w:tcPr>
            <w:tcW w:w="6819" w:type="dxa"/>
            <w:vAlign w:val="center"/>
          </w:tcPr>
          <w:p>
            <w:pPr>
              <w:pStyle w:val="60"/>
              <w:snapToGrid w:val="0"/>
              <w:spacing w:line="360" w:lineRule="auto"/>
              <w:ind w:firstLine="240" w:firstLineChars="100"/>
            </w:pPr>
            <w:r>
              <w:t>6.4</w:t>
            </w:r>
            <w:r>
              <w:rPr>
                <w:rFonts w:hint="eastAsia"/>
              </w:rPr>
              <w:t>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71" w:type="dxa"/>
            <w:vAlign w:val="center"/>
          </w:tcPr>
          <w:p>
            <w:pPr>
              <w:pStyle w:val="60"/>
              <w:snapToGrid w:val="0"/>
              <w:spacing w:line="360" w:lineRule="auto"/>
              <w:jc w:val="center"/>
            </w:pPr>
            <w:r>
              <w:rPr>
                <w:rFonts w:hint="eastAsia"/>
              </w:rPr>
              <w:t>6</w:t>
            </w:r>
          </w:p>
        </w:tc>
        <w:tc>
          <w:tcPr>
            <w:tcW w:w="1916" w:type="dxa"/>
            <w:vAlign w:val="center"/>
          </w:tcPr>
          <w:p>
            <w:pPr>
              <w:pStyle w:val="60"/>
              <w:snapToGrid w:val="0"/>
              <w:spacing w:line="360" w:lineRule="auto"/>
              <w:jc w:val="center"/>
              <w:rPr>
                <w:lang w:val="zh-CN"/>
              </w:rPr>
            </w:pPr>
            <w:r>
              <w:rPr>
                <w:rFonts w:hint="eastAsia"/>
                <w:lang w:val="zh-CN"/>
              </w:rPr>
              <w:t>构成招标文件的其他文件</w:t>
            </w:r>
          </w:p>
        </w:tc>
        <w:tc>
          <w:tcPr>
            <w:tcW w:w="6819" w:type="dxa"/>
            <w:vAlign w:val="center"/>
          </w:tcPr>
          <w:p>
            <w:pPr>
              <w:pStyle w:val="60"/>
              <w:snapToGrid w:val="0"/>
              <w:spacing w:line="360" w:lineRule="auto"/>
              <w:ind w:left="170" w:leftChars="50"/>
              <w:rPr>
                <w:lang w:val="zh-CN"/>
              </w:rPr>
            </w:pPr>
            <w:r>
              <w:rPr>
                <w:rFonts w:hint="eastAsia"/>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rPr>
                <w:lang w:val="zh-CN"/>
              </w:rPr>
            </w:pPr>
            <w:r>
              <w:rPr>
                <w:rFonts w:hint="eastAsia"/>
              </w:rPr>
              <w:t>7</w:t>
            </w:r>
          </w:p>
        </w:tc>
        <w:tc>
          <w:tcPr>
            <w:tcW w:w="1916" w:type="dxa"/>
            <w:vAlign w:val="center"/>
          </w:tcPr>
          <w:p>
            <w:pPr>
              <w:pStyle w:val="60"/>
              <w:snapToGrid w:val="0"/>
              <w:spacing w:line="360" w:lineRule="auto"/>
              <w:ind w:firstLine="240" w:firstLineChars="100"/>
              <w:jc w:val="center"/>
              <w:rPr>
                <w:lang w:val="zh-CN"/>
              </w:rPr>
            </w:pPr>
            <w:r>
              <w:rPr>
                <w:rFonts w:hint="eastAsia"/>
                <w:lang w:val="zh-CN"/>
              </w:rPr>
              <w:t>采购方式</w:t>
            </w:r>
          </w:p>
        </w:tc>
        <w:tc>
          <w:tcPr>
            <w:tcW w:w="6819" w:type="dxa"/>
            <w:vAlign w:val="center"/>
          </w:tcPr>
          <w:p>
            <w:pPr>
              <w:pStyle w:val="60"/>
              <w:snapToGrid w:val="0"/>
              <w:spacing w:line="360" w:lineRule="auto"/>
              <w:ind w:firstLine="240" w:firstLineChars="100"/>
              <w:rPr>
                <w:lang w:val="zh-CN"/>
              </w:rPr>
            </w:pPr>
            <w:r>
              <w:rPr>
                <w:rFonts w:hint="eastAsia"/>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rPr>
                <w:lang w:val="zh-CN"/>
              </w:rPr>
            </w:pPr>
            <w:r>
              <w:rPr>
                <w:rFonts w:hint="eastAsia"/>
              </w:rPr>
              <w:t>8</w:t>
            </w:r>
          </w:p>
        </w:tc>
        <w:tc>
          <w:tcPr>
            <w:tcW w:w="1916" w:type="dxa"/>
            <w:vAlign w:val="center"/>
          </w:tcPr>
          <w:p>
            <w:pPr>
              <w:pStyle w:val="60"/>
              <w:snapToGrid w:val="0"/>
              <w:spacing w:line="360" w:lineRule="auto"/>
              <w:ind w:firstLine="240" w:firstLineChars="100"/>
              <w:jc w:val="center"/>
              <w:rPr>
                <w:lang w:val="zh-CN"/>
              </w:rPr>
            </w:pPr>
            <w:r>
              <w:rPr>
                <w:rFonts w:hint="eastAsia"/>
                <w:lang w:val="zh-CN"/>
              </w:rPr>
              <w:t>评标方法</w:t>
            </w:r>
          </w:p>
        </w:tc>
        <w:tc>
          <w:tcPr>
            <w:tcW w:w="6819" w:type="dxa"/>
            <w:vAlign w:val="center"/>
          </w:tcPr>
          <w:p>
            <w:pPr>
              <w:pStyle w:val="60"/>
              <w:snapToGrid w:val="0"/>
              <w:spacing w:line="360" w:lineRule="auto"/>
              <w:ind w:firstLine="240" w:firstLineChars="100"/>
              <w:rPr>
                <w:lang w:val="zh-CN"/>
              </w:rPr>
            </w:pPr>
            <w:r>
              <w:rPr>
                <w:rFonts w:hint="eastAsia"/>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9</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投标有效期</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pPr>
            <w:r>
              <w:rPr>
                <w:rFonts w:hint="eastAsia"/>
                <w:lang w:val="zh-CN"/>
              </w:rPr>
              <w:t>投标截止之日起30天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10</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投标文件份数</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pPr>
            <w:r>
              <w:rPr>
                <w:rFonts w:hint="eastAsia"/>
                <w:lang w:val="zh-CN"/>
              </w:rPr>
              <w:t>正本一套，用于唱标的“投标报价表”一份。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11</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装订要求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pPr>
            <w:r>
              <w:rPr>
                <w:rFonts w:hint="eastAsia"/>
                <w:lang w:val="zh-CN"/>
              </w:rPr>
              <w:t>正本装订，不得有活页。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12</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投标文件、投标报价表的包装和密封</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pPr>
            <w:r>
              <w:rPr>
                <w:rFonts w:hint="eastAsia"/>
                <w:lang w:val="zh-CN"/>
              </w:rPr>
              <w:t>投标文件、“投标报价表”分别包装和密封，同时递交采购人。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13</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投标文件递交</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rPr>
                <w:lang w:val="zh-CN"/>
              </w:rPr>
            </w:pPr>
            <w:r>
              <w:rPr>
                <w:rFonts w:hint="eastAsia"/>
                <w:lang w:val="zh-CN"/>
              </w:rPr>
              <w:t>a.时间和地点详见 “投标邀请”;</w:t>
            </w:r>
          </w:p>
          <w:p>
            <w:pPr>
              <w:pStyle w:val="60"/>
              <w:snapToGrid w:val="0"/>
              <w:spacing w:line="360" w:lineRule="auto"/>
              <w:rPr>
                <w:lang w:val="zh-CN"/>
              </w:rPr>
            </w:pPr>
            <w:r>
              <w:rPr>
                <w:rFonts w:hint="eastAsia"/>
                <w:lang w:val="zh-CN"/>
              </w:rPr>
              <w:t>b.采购人在招标文件规定的时间和地点组织开标，投标人代表人执有效身份证参加。</w:t>
            </w:r>
          </w:p>
          <w:p>
            <w:pPr>
              <w:pStyle w:val="60"/>
              <w:snapToGrid w:val="0"/>
              <w:spacing w:line="360" w:lineRule="auto"/>
            </w:pPr>
            <w:r>
              <w:rPr>
                <w:rFonts w:hint="eastAsia"/>
                <w:lang w:val="zh-CN"/>
              </w:rPr>
              <w:t>c.其他要求详见第二章“投标文件”第</w:t>
            </w:r>
            <w:r>
              <w:rPr>
                <w:rFonts w:hint="eastAsia"/>
              </w:rPr>
              <w:t>11</w:t>
            </w:r>
            <w:r>
              <w:rPr>
                <w:rFonts w:hint="eastAsia"/>
                <w:lang w:val="zh-CN"/>
              </w:rPr>
              <w:t>条“投标文件的递交”。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14</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both"/>
              <w:rPr>
                <w:lang w:val="zh-CN"/>
              </w:rPr>
            </w:pPr>
            <w:r>
              <w:rPr>
                <w:rFonts w:hint="eastAsia"/>
                <w:lang w:val="zh-CN"/>
              </w:rPr>
              <w:t>开标时间、地点</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rPr>
                <w:highlight w:val="yellow"/>
                <w:lang w:val="zh-CN"/>
              </w:rPr>
            </w:pPr>
            <w:r>
              <w:rPr>
                <w:rFonts w:hint="eastAsia"/>
                <w:lang w:val="zh-CN"/>
              </w:rPr>
              <w:t>时间：</w:t>
            </w:r>
            <w:r>
              <w:rPr>
                <w:rFonts w:hint="eastAsia"/>
                <w:color w:val="000000" w:themeColor="text1"/>
                <w:highlight w:val="none"/>
                <w14:textFill>
                  <w14:solidFill>
                    <w14:schemeClr w14:val="tx1"/>
                  </w14:solidFill>
                </w14:textFill>
              </w:rPr>
              <w:t xml:space="preserve">2022 </w:t>
            </w:r>
            <w:r>
              <w:rPr>
                <w:rFonts w:hint="eastAsia"/>
                <w:color w:val="000000" w:themeColor="text1"/>
                <w:highlight w:val="none"/>
                <w:lang w:val="zh-CN"/>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 xml:space="preserve"> 9</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 xml:space="preserve"> 07</w:t>
            </w:r>
            <w:r>
              <w:rPr>
                <w:rFonts w:hint="eastAsia"/>
                <w:color w:val="000000" w:themeColor="text1"/>
                <w:highlight w:val="none"/>
                <w:lang w:val="zh-CN"/>
                <w14:textFill>
                  <w14:solidFill>
                    <w14:schemeClr w14:val="tx1"/>
                  </w14:solidFill>
                </w14:textFill>
              </w:rPr>
              <w:t>日</w:t>
            </w:r>
            <w:r>
              <w:rPr>
                <w:rFonts w:hint="eastAsia"/>
                <w:color w:val="000000" w:themeColor="text1"/>
                <w:highlight w:val="none"/>
                <w14:textFill>
                  <w14:solidFill>
                    <w14:schemeClr w14:val="tx1"/>
                  </w14:solidFill>
                </w14:textFill>
              </w:rPr>
              <w:t>10:00</w:t>
            </w:r>
            <w:r>
              <w:rPr>
                <w:rFonts w:hint="eastAsia"/>
                <w:lang w:val="zh-CN"/>
              </w:rPr>
              <w:t>（北京时间）</w:t>
            </w:r>
          </w:p>
          <w:p>
            <w:pPr>
              <w:pStyle w:val="60"/>
              <w:snapToGrid w:val="0"/>
              <w:spacing w:line="360" w:lineRule="auto"/>
              <w:ind w:firstLine="240" w:firstLineChars="100"/>
            </w:pPr>
            <w:r>
              <w:rPr>
                <w:rFonts w:hint="eastAsia"/>
                <w:lang w:val="zh-CN"/>
              </w:rPr>
              <w:t>地点：</w:t>
            </w:r>
            <w:r>
              <w:rPr>
                <w:rFonts w:hint="eastAsia"/>
              </w:rPr>
              <w:t>四川成都郫都区安德街道彭温路399号后勤基建办公区2F评标室</w:t>
            </w:r>
          </w:p>
        </w:tc>
      </w:tr>
    </w:tbl>
    <w:p>
      <w:pPr>
        <w:snapToGrid w:val="0"/>
        <w:spacing w:line="360" w:lineRule="auto"/>
        <w:rPr>
          <w:rFonts w:hAnsi="宋体" w:cs="宋体"/>
          <w:bCs/>
          <w:sz w:val="30"/>
          <w:szCs w:val="30"/>
        </w:rPr>
      </w:pPr>
    </w:p>
    <w:p>
      <w:pPr>
        <w:pStyle w:val="5"/>
        <w:snapToGrid w:val="0"/>
        <w:spacing w:before="0" w:after="0" w:line="360" w:lineRule="auto"/>
        <w:jc w:val="center"/>
        <w:rPr>
          <w:rFonts w:ascii="宋体" w:hAnsi="宋体" w:eastAsia="宋体" w:cs="宋体"/>
          <w:sz w:val="30"/>
          <w:szCs w:val="30"/>
        </w:rPr>
      </w:pPr>
      <w:bookmarkStart w:id="17" w:name="_Toc89075875"/>
      <w:bookmarkStart w:id="18" w:name="_Toc77400779"/>
      <w:bookmarkStart w:id="19" w:name="_Toc183682346"/>
      <w:bookmarkStart w:id="20" w:name="_Toc217446038"/>
      <w:bookmarkStart w:id="21" w:name="_Toc183582209"/>
      <w:r>
        <w:rPr>
          <w:rFonts w:hint="eastAsia" w:ascii="宋体" w:hAnsi="宋体" w:eastAsia="宋体" w:cs="宋体"/>
          <w:sz w:val="30"/>
          <w:szCs w:val="30"/>
        </w:rPr>
        <w:t>二、招标文件</w:t>
      </w:r>
      <w:bookmarkEnd w:id="17"/>
      <w:bookmarkEnd w:id="18"/>
      <w:bookmarkEnd w:id="19"/>
      <w:bookmarkEnd w:id="20"/>
      <w:bookmarkEnd w:id="21"/>
    </w:p>
    <w:p>
      <w:pPr>
        <w:pStyle w:val="6"/>
        <w:snapToGrid w:val="0"/>
        <w:spacing w:before="0" w:after="0" w:line="360" w:lineRule="auto"/>
        <w:ind w:firstLine="161" w:firstLineChars="67"/>
        <w:rPr>
          <w:rFonts w:hAnsi="宋体" w:cs="宋体"/>
          <w:sz w:val="24"/>
          <w:szCs w:val="24"/>
        </w:rPr>
      </w:pPr>
      <w:bookmarkStart w:id="22" w:name="_Toc183582210"/>
      <w:bookmarkStart w:id="23" w:name="_Toc217446039"/>
      <w:bookmarkStart w:id="24" w:name="_Toc183682347"/>
      <w:r>
        <w:rPr>
          <w:rFonts w:hint="eastAsia" w:hAnsi="宋体" w:cs="宋体"/>
          <w:sz w:val="24"/>
          <w:szCs w:val="24"/>
        </w:rPr>
        <w:t>1．招标文件的构成</w:t>
      </w:r>
      <w:bookmarkEnd w:id="22"/>
      <w:bookmarkEnd w:id="23"/>
      <w:bookmarkEnd w:id="24"/>
    </w:p>
    <w:p>
      <w:pPr>
        <w:tabs>
          <w:tab w:val="left" w:pos="720"/>
        </w:tabs>
        <w:snapToGrid w:val="0"/>
        <w:spacing w:line="360" w:lineRule="auto"/>
        <w:ind w:firstLine="484" w:firstLineChars="202"/>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1本招标文件包括以下内容：</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（一）投标邀请；</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（二）投标人须知；</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（三）投标文件格式；</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（四）招标项目技术、商务及其他要求；</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（五）评标办法；</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（六）合同主要条款；</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6"/>
        <w:snapToGrid w:val="0"/>
        <w:spacing w:before="0" w:after="0" w:line="360" w:lineRule="auto"/>
        <w:ind w:firstLine="161" w:firstLineChars="67"/>
        <w:rPr>
          <w:rFonts w:hAnsi="宋体" w:cs="宋体"/>
          <w:sz w:val="24"/>
          <w:szCs w:val="24"/>
        </w:rPr>
      </w:pPr>
      <w:bookmarkStart w:id="25" w:name="_Toc183582211"/>
      <w:bookmarkStart w:id="26" w:name="_Toc183682348"/>
      <w:bookmarkStart w:id="27" w:name="_Toc217446040"/>
      <w:r>
        <w:rPr>
          <w:rFonts w:hint="eastAsia" w:hAnsi="宋体" w:cs="宋体"/>
          <w:sz w:val="24"/>
          <w:szCs w:val="24"/>
        </w:rPr>
        <w:t>2. 招标文件的澄清</w:t>
      </w:r>
      <w:bookmarkEnd w:id="25"/>
      <w:bookmarkEnd w:id="26"/>
      <w:r>
        <w:rPr>
          <w:rFonts w:hint="eastAsia" w:hAnsi="宋体" w:cs="宋体"/>
          <w:sz w:val="24"/>
          <w:szCs w:val="24"/>
        </w:rPr>
        <w:t>和修改</w:t>
      </w:r>
      <w:bookmarkEnd w:id="27"/>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2.1 在投标截止时间前，招标采购单位可以对招标文件进行澄清或者修改。</w:t>
      </w:r>
    </w:p>
    <w:p>
      <w:pPr>
        <w:snapToGrid w:val="0"/>
        <w:spacing w:line="360" w:lineRule="auto"/>
        <w:ind w:left="3" w:leftChars="1" w:firstLine="240" w:firstLineChars="100"/>
        <w:rPr>
          <w:rFonts w:hAnsi="宋体" w:cs="宋体"/>
          <w:sz w:val="24"/>
          <w:szCs w:val="24"/>
        </w:rPr>
      </w:pPr>
      <w:r>
        <w:rPr>
          <w:rFonts w:hint="eastAsia" w:hAnsi="宋体" w:cs="宋体"/>
          <w:sz w:val="24"/>
          <w:szCs w:val="24"/>
        </w:rPr>
        <w:t>2.2要求对招标文件进行澄清的投标人，均应通知招标人，招标人应对招标文件进行澄清。</w:t>
      </w:r>
    </w:p>
    <w:p>
      <w:pPr>
        <w:pStyle w:val="5"/>
        <w:snapToGrid w:val="0"/>
        <w:spacing w:before="0" w:after="0" w:line="360" w:lineRule="auto"/>
        <w:jc w:val="center"/>
        <w:rPr>
          <w:rFonts w:ascii="宋体" w:hAnsi="宋体" w:eastAsia="宋体" w:cs="宋体"/>
          <w:sz w:val="30"/>
          <w:szCs w:val="30"/>
        </w:rPr>
      </w:pPr>
      <w:bookmarkStart w:id="28" w:name="_Toc77400780"/>
      <w:bookmarkStart w:id="29" w:name="_Toc89075876"/>
      <w:bookmarkStart w:id="30" w:name="_Toc183582214"/>
      <w:bookmarkStart w:id="31" w:name="_Toc217446042"/>
      <w:bookmarkStart w:id="32" w:name="_Toc183682351"/>
      <w:r>
        <w:rPr>
          <w:rFonts w:hint="eastAsia" w:ascii="宋体" w:hAnsi="宋体" w:eastAsia="宋体" w:cs="宋体"/>
          <w:sz w:val="30"/>
          <w:szCs w:val="30"/>
        </w:rPr>
        <w:t>三、投标文件</w:t>
      </w:r>
      <w:bookmarkEnd w:id="28"/>
      <w:bookmarkEnd w:id="29"/>
      <w:bookmarkEnd w:id="30"/>
      <w:bookmarkEnd w:id="31"/>
      <w:bookmarkEnd w:id="32"/>
    </w:p>
    <w:p>
      <w:pPr>
        <w:pStyle w:val="6"/>
        <w:snapToGrid w:val="0"/>
        <w:spacing w:before="0" w:after="0" w:line="360" w:lineRule="auto"/>
        <w:ind w:firstLine="161" w:firstLineChars="67"/>
        <w:rPr>
          <w:rFonts w:hAnsi="宋体" w:cs="宋体"/>
          <w:sz w:val="24"/>
          <w:szCs w:val="24"/>
        </w:rPr>
      </w:pPr>
      <w:bookmarkStart w:id="33" w:name="_Toc217446043"/>
      <w:bookmarkStart w:id="34" w:name="_Toc183582215"/>
      <w:bookmarkStart w:id="35" w:name="_Toc183682352"/>
      <w:r>
        <w:rPr>
          <w:rFonts w:hint="eastAsia" w:hAnsi="宋体" w:cs="宋体"/>
          <w:sz w:val="24"/>
          <w:szCs w:val="24"/>
        </w:rPr>
        <w:t>3．投标文件的语言</w:t>
      </w:r>
      <w:bookmarkEnd w:id="33"/>
      <w:bookmarkEnd w:id="34"/>
      <w:bookmarkEnd w:id="35"/>
    </w:p>
    <w:p>
      <w:pPr>
        <w:snapToGrid w:val="0"/>
        <w:spacing w:line="360" w:lineRule="auto"/>
        <w:ind w:firstLine="480" w:firstLineChars="200"/>
        <w:rPr>
          <w:rFonts w:hAnsi="宋体" w:cs="宋体"/>
          <w:sz w:val="24"/>
          <w:szCs w:val="24"/>
        </w:rPr>
      </w:pPr>
      <w:r>
        <w:rPr>
          <w:rFonts w:hint="eastAsia" w:hAnsi="宋体" w:cs="宋体"/>
          <w:sz w:val="24"/>
          <w:szCs w:val="24"/>
        </w:rPr>
        <w:t>投标人提交的投标文件以及投标人与招标采购单位就有关投标的所有来往书面文件均须使用中文。</w:t>
      </w:r>
    </w:p>
    <w:p>
      <w:pPr>
        <w:pStyle w:val="6"/>
        <w:snapToGrid w:val="0"/>
        <w:spacing w:before="0" w:after="0" w:line="360" w:lineRule="auto"/>
        <w:ind w:firstLine="161" w:firstLineChars="67"/>
        <w:rPr>
          <w:rFonts w:hAnsi="宋体" w:cs="宋体"/>
          <w:sz w:val="24"/>
          <w:szCs w:val="24"/>
        </w:rPr>
      </w:pPr>
      <w:bookmarkStart w:id="36" w:name="_Toc217446045"/>
      <w:r>
        <w:rPr>
          <w:rFonts w:hint="eastAsia" w:hAnsi="宋体" w:cs="宋体"/>
          <w:sz w:val="24"/>
          <w:szCs w:val="24"/>
        </w:rPr>
        <w:t>4. 投标货币</w:t>
      </w:r>
      <w:bookmarkEnd w:id="36"/>
    </w:p>
    <w:p>
      <w:pPr>
        <w:tabs>
          <w:tab w:val="left" w:pos="7665"/>
        </w:tabs>
        <w:snapToGrid w:val="0"/>
        <w:spacing w:line="360" w:lineRule="auto"/>
        <w:ind w:hanging="118"/>
        <w:rPr>
          <w:rFonts w:hAnsi="宋体" w:cs="宋体"/>
          <w:sz w:val="24"/>
          <w:szCs w:val="24"/>
        </w:rPr>
      </w:pPr>
      <w:r>
        <w:rPr>
          <w:rFonts w:hint="eastAsia" w:hAnsi="宋体" w:cs="宋体"/>
          <w:sz w:val="24"/>
          <w:szCs w:val="24"/>
        </w:rPr>
        <w:t>本次招标项目的投标均以人民币报价。</w:t>
      </w:r>
    </w:p>
    <w:p>
      <w:pPr>
        <w:pStyle w:val="6"/>
        <w:snapToGrid w:val="0"/>
        <w:spacing w:before="0" w:after="0" w:line="360" w:lineRule="auto"/>
        <w:ind w:firstLine="161" w:firstLineChars="67"/>
        <w:rPr>
          <w:rFonts w:hAnsi="宋体" w:cs="宋体"/>
          <w:sz w:val="24"/>
          <w:szCs w:val="24"/>
        </w:rPr>
      </w:pPr>
      <w:bookmarkStart w:id="37" w:name="_Toc217446047"/>
      <w:r>
        <w:rPr>
          <w:rFonts w:hint="eastAsia" w:hAnsi="宋体" w:cs="宋体"/>
          <w:sz w:val="24"/>
          <w:szCs w:val="24"/>
        </w:rPr>
        <w:t>5. 知识产权</w:t>
      </w:r>
      <w:bookmarkEnd w:id="37"/>
    </w:p>
    <w:p>
      <w:pPr>
        <w:pStyle w:val="9"/>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9"/>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.2 采购人享有本项目实施过程中产生的知识成果及知识产权。</w:t>
      </w:r>
    </w:p>
    <w:p>
      <w:pPr>
        <w:pStyle w:val="6"/>
        <w:snapToGrid w:val="0"/>
        <w:spacing w:before="0" w:after="0" w:line="360" w:lineRule="auto"/>
        <w:ind w:firstLine="161" w:firstLineChars="67"/>
        <w:rPr>
          <w:rFonts w:hAnsi="宋体" w:cs="宋体"/>
          <w:sz w:val="24"/>
          <w:szCs w:val="24"/>
        </w:rPr>
      </w:pPr>
      <w:bookmarkStart w:id="38" w:name="_Toc183582217"/>
      <w:bookmarkStart w:id="39" w:name="_Toc183682354"/>
      <w:bookmarkStart w:id="40" w:name="_Toc217446048"/>
      <w:bookmarkStart w:id="41" w:name="_Toc358883246"/>
      <w:bookmarkStart w:id="42" w:name="_Toc217446093"/>
      <w:r>
        <w:rPr>
          <w:rFonts w:hint="eastAsia" w:hAnsi="宋体" w:cs="宋体"/>
          <w:sz w:val="24"/>
          <w:szCs w:val="24"/>
        </w:rPr>
        <w:t>6．投标文件的组成</w:t>
      </w:r>
      <w:bookmarkEnd w:id="38"/>
      <w:bookmarkEnd w:id="39"/>
      <w:bookmarkEnd w:id="40"/>
      <w:bookmarkStart w:id="43" w:name="_Toc217446049"/>
      <w:bookmarkStart w:id="44" w:name="_Toc183682355"/>
      <w:bookmarkStart w:id="45" w:name="_Toc183582218"/>
      <w:r>
        <w:rPr>
          <w:rFonts w:hint="eastAsia" w:hAnsi="宋体" w:cs="宋体"/>
          <w:sz w:val="24"/>
          <w:szCs w:val="24"/>
        </w:rPr>
        <w:t>。</w:t>
      </w:r>
    </w:p>
    <w:p>
      <w:pPr>
        <w:pStyle w:val="6"/>
        <w:snapToGrid w:val="0"/>
        <w:spacing w:before="0" w:after="0" w:line="360" w:lineRule="auto"/>
        <w:ind w:firstLine="640" w:firstLineChars="267"/>
        <w:rPr>
          <w:rFonts w:hAnsi="宋体" w:cs="宋体"/>
          <w:sz w:val="24"/>
          <w:szCs w:val="24"/>
        </w:rPr>
      </w:pPr>
      <w:r>
        <w:rPr>
          <w:rFonts w:hint="eastAsia" w:hAnsi="宋体" w:cs="宋体"/>
          <w:b w:val="0"/>
          <w:kern w:val="2"/>
          <w:sz w:val="24"/>
          <w:szCs w:val="24"/>
        </w:rPr>
        <w:t>投标文件包括：</w:t>
      </w:r>
    </w:p>
    <w:p>
      <w:pPr>
        <w:pStyle w:val="9"/>
        <w:snapToGrid w:val="0"/>
        <w:spacing w:line="360" w:lineRule="auto"/>
        <w:ind w:firstLine="484" w:firstLineChars="202"/>
        <w:rPr>
          <w:rFonts w:ascii="宋体" w:hAnsi="宋体" w:cs="宋体"/>
          <w:sz w:val="24"/>
          <w:szCs w:val="24"/>
        </w:rPr>
      </w:pPr>
      <w:r>
        <w:rPr>
          <w:rFonts w:hint="eastAsia" w:ascii="宋体" w:hAnsi="宋体" w:cs="宋体"/>
          <w:sz w:val="24"/>
          <w:szCs w:val="24"/>
        </w:rPr>
        <w:t>（1） 投标函</w:t>
      </w:r>
    </w:p>
    <w:p>
      <w:pPr>
        <w:pStyle w:val="9"/>
        <w:numPr>
          <w:ilvl w:val="0"/>
          <w:numId w:val="3"/>
        </w:numPr>
        <w:snapToGrid w:val="0"/>
        <w:spacing w:line="360" w:lineRule="auto"/>
        <w:rPr>
          <w:rFonts w:ascii="宋体" w:hAnsi="宋体" w:cs="宋体"/>
          <w:sz w:val="24"/>
          <w:szCs w:val="24"/>
        </w:rPr>
      </w:pPr>
      <w:r>
        <w:rPr>
          <w:rFonts w:hint="eastAsia" w:ascii="宋体" w:hAnsi="宋体" w:cs="宋体"/>
          <w:sz w:val="24"/>
          <w:szCs w:val="24"/>
        </w:rPr>
        <w:t>法定代表人授权书</w:t>
      </w:r>
    </w:p>
    <w:p>
      <w:pPr>
        <w:pStyle w:val="9"/>
        <w:numPr>
          <w:ilvl w:val="0"/>
          <w:numId w:val="3"/>
        </w:numPr>
        <w:snapToGrid w:val="0"/>
        <w:spacing w:line="360" w:lineRule="auto"/>
        <w:rPr>
          <w:rFonts w:ascii="宋体" w:hAnsi="宋体" w:cs="宋体"/>
          <w:sz w:val="24"/>
          <w:szCs w:val="24"/>
        </w:rPr>
      </w:pPr>
      <w:r>
        <w:rPr>
          <w:rFonts w:hint="eastAsia" w:ascii="宋体" w:hAnsi="宋体" w:cs="宋体"/>
          <w:sz w:val="24"/>
          <w:szCs w:val="24"/>
        </w:rPr>
        <w:t>投标报价表</w:t>
      </w:r>
    </w:p>
    <w:p>
      <w:pPr>
        <w:pStyle w:val="9"/>
        <w:numPr>
          <w:ilvl w:val="0"/>
          <w:numId w:val="3"/>
        </w:numPr>
        <w:snapToGrid w:val="0"/>
        <w:spacing w:line="360" w:lineRule="auto"/>
        <w:rPr>
          <w:rFonts w:ascii="宋体" w:hAnsi="宋体" w:cs="宋体"/>
          <w:sz w:val="24"/>
          <w:szCs w:val="24"/>
        </w:rPr>
      </w:pPr>
      <w:r>
        <w:rPr>
          <w:rFonts w:hint="eastAsia" w:ascii="宋体" w:hAnsi="宋体" w:cs="宋体"/>
          <w:sz w:val="24"/>
          <w:szCs w:val="24"/>
        </w:rPr>
        <w:t>分项报价明细表</w:t>
      </w:r>
    </w:p>
    <w:p>
      <w:pPr>
        <w:pStyle w:val="9"/>
        <w:numPr>
          <w:ilvl w:val="0"/>
          <w:numId w:val="4"/>
        </w:numPr>
        <w:snapToGrid w:val="0"/>
        <w:spacing w:line="360" w:lineRule="auto"/>
        <w:rPr>
          <w:rFonts w:ascii="宋体" w:hAnsi="宋体" w:cs="宋体"/>
          <w:sz w:val="24"/>
          <w:szCs w:val="24"/>
        </w:rPr>
      </w:pPr>
      <w:r>
        <w:rPr>
          <w:rFonts w:hint="eastAsia" w:ascii="宋体" w:hAnsi="宋体" w:cs="宋体"/>
          <w:sz w:val="24"/>
          <w:szCs w:val="24"/>
        </w:rPr>
        <w:t>商务应答表</w:t>
      </w:r>
    </w:p>
    <w:p>
      <w:pPr>
        <w:pStyle w:val="9"/>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投标人近三年类似项目业绩一览表</w:t>
      </w:r>
    </w:p>
    <w:p>
      <w:pPr>
        <w:pStyle w:val="9"/>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投标人认为有必要补充说明的相关信息</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7.投标文件的说明。</w:t>
      </w:r>
    </w:p>
    <w:p>
      <w:pPr>
        <w:pStyle w:val="9"/>
        <w:snapToGrid w:val="0"/>
        <w:spacing w:line="360" w:lineRule="auto"/>
        <w:ind w:left="120" w:firstLine="240" w:firstLineChars="100"/>
        <w:rPr>
          <w:rFonts w:ascii="宋体" w:hAnsi="宋体" w:cs="宋体"/>
          <w:sz w:val="24"/>
          <w:szCs w:val="24"/>
        </w:rPr>
      </w:pPr>
      <w:r>
        <w:rPr>
          <w:rFonts w:hint="eastAsia" w:ascii="宋体" w:hAnsi="宋体" w:cs="宋体"/>
          <w:sz w:val="24"/>
          <w:szCs w:val="24"/>
        </w:rPr>
        <w:t>7.1报价部分。投标人按照招标文件要求填写“投标报价表”及“分项报价明细表”。 本次招标报价要求：</w:t>
      </w:r>
    </w:p>
    <w:p>
      <w:pPr>
        <w:pStyle w:val="9"/>
        <w:snapToGrid w:val="0"/>
        <w:spacing w:line="360" w:lineRule="auto"/>
        <w:ind w:firstLine="484" w:firstLineChars="202"/>
        <w:rPr>
          <w:rFonts w:ascii="宋体" w:hAnsi="宋体" w:cs="宋体"/>
          <w:sz w:val="24"/>
          <w:szCs w:val="24"/>
        </w:rPr>
      </w:pPr>
      <w:r>
        <w:rPr>
          <w:rFonts w:hint="eastAsia" w:ascii="宋体" w:hAnsi="宋体" w:cs="宋体"/>
          <w:sz w:val="24"/>
          <w:szCs w:val="24"/>
        </w:rPr>
        <w:t>（1）投标人的报价是投标人响应招标项目要求的全部工作内容的价格体现，包括投标人完成本项目所需的一切费用。</w:t>
      </w:r>
    </w:p>
    <w:p>
      <w:pPr>
        <w:pStyle w:val="9"/>
        <w:snapToGrid w:val="0"/>
        <w:spacing w:line="360" w:lineRule="auto"/>
        <w:ind w:firstLine="480" w:firstLineChars="200"/>
        <w:rPr>
          <w:rFonts w:ascii="宋体" w:hAnsi="宋体" w:cs="宋体"/>
          <w:sz w:val="24"/>
          <w:szCs w:val="24"/>
        </w:rPr>
      </w:pPr>
      <w:r>
        <w:rPr>
          <w:rFonts w:hint="eastAsia" w:ascii="宋体" w:hAnsi="宋体" w:cs="宋体"/>
          <w:sz w:val="24"/>
          <w:szCs w:val="24"/>
        </w:rPr>
        <w:t>（2）投标人每种货物只允许有一个报价，并且在合同履行过程中是固定不变的，任何有选择或可调整的报价将不予接受，并按无效投标处理。</w:t>
      </w:r>
    </w:p>
    <w:p>
      <w:pPr>
        <w:pStyle w:val="9"/>
        <w:snapToGrid w:val="0"/>
        <w:spacing w:line="360" w:lineRule="auto"/>
        <w:ind w:firstLine="484" w:firstLineChars="202"/>
        <w:rPr>
          <w:rFonts w:ascii="宋体" w:hAnsi="宋体" w:cs="宋体"/>
          <w:sz w:val="24"/>
          <w:szCs w:val="24"/>
        </w:rPr>
      </w:pPr>
      <w:r>
        <w:rPr>
          <w:rFonts w:hint="eastAsia" w:ascii="宋体" w:hAnsi="宋体" w:cs="宋体"/>
          <w:sz w:val="24"/>
          <w:szCs w:val="24"/>
        </w:rPr>
        <w:t>7.2 技术部分。投标人按照招标文件要求做出的技术应答，主要是针对招标项目的技术指标、参数和技术要求做出的实质性响应和满足。投标人的技术应答应包括下列内容：</w:t>
      </w:r>
    </w:p>
    <w:p>
      <w:pPr>
        <w:pStyle w:val="9"/>
        <w:snapToGrid w:val="0"/>
        <w:spacing w:line="360" w:lineRule="auto"/>
        <w:ind w:firstLine="360" w:firstLineChars="150"/>
        <w:rPr>
          <w:rFonts w:ascii="宋体" w:hAnsi="宋体" w:cs="宋体"/>
          <w:sz w:val="24"/>
          <w:szCs w:val="24"/>
        </w:rPr>
      </w:pPr>
      <w:r>
        <w:rPr>
          <w:rFonts w:hint="eastAsia" w:ascii="宋体" w:hAnsi="宋体" w:cs="宋体"/>
          <w:sz w:val="24"/>
          <w:szCs w:val="24"/>
        </w:rPr>
        <w:t>（1）投标产品的品牌、型号、配置；</w:t>
      </w:r>
    </w:p>
    <w:p>
      <w:pPr>
        <w:pStyle w:val="9"/>
        <w:snapToGrid w:val="0"/>
        <w:spacing w:line="360" w:lineRule="auto"/>
        <w:ind w:firstLine="0"/>
        <w:rPr>
          <w:rFonts w:ascii="宋体" w:hAnsi="宋体" w:cs="宋体"/>
          <w:sz w:val="24"/>
          <w:szCs w:val="24"/>
        </w:rPr>
      </w:pPr>
      <w:r>
        <w:rPr>
          <w:rFonts w:hint="eastAsia" w:ascii="宋体" w:hAnsi="宋体" w:cs="宋体"/>
          <w:sz w:val="24"/>
          <w:szCs w:val="24"/>
        </w:rPr>
        <w:t>（2）投标产品本身的详细的技术指标和参数（尽可能提供检测报告、产品使用说明书、用户手册等材料予以佐证）；</w:t>
      </w:r>
    </w:p>
    <w:p>
      <w:pPr>
        <w:pStyle w:val="9"/>
        <w:snapToGrid w:val="0"/>
        <w:spacing w:line="360" w:lineRule="auto"/>
        <w:ind w:firstLine="360" w:firstLineChars="150"/>
        <w:rPr>
          <w:rFonts w:ascii="宋体" w:hAnsi="宋体" w:cs="宋体"/>
          <w:sz w:val="24"/>
          <w:szCs w:val="24"/>
        </w:rPr>
      </w:pPr>
      <w:r>
        <w:rPr>
          <w:rFonts w:hint="eastAsia" w:ascii="宋体" w:hAnsi="宋体" w:cs="宋体"/>
          <w:sz w:val="24"/>
          <w:szCs w:val="24"/>
        </w:rPr>
        <w:t>（3）技术方案、项目实施方案；</w:t>
      </w:r>
    </w:p>
    <w:p>
      <w:pPr>
        <w:pStyle w:val="9"/>
        <w:snapToGrid w:val="0"/>
        <w:spacing w:line="360" w:lineRule="auto"/>
        <w:ind w:firstLine="360" w:firstLineChars="150"/>
        <w:rPr>
          <w:rFonts w:ascii="宋体" w:hAnsi="宋体" w:cs="宋体"/>
          <w:sz w:val="24"/>
          <w:szCs w:val="24"/>
        </w:rPr>
      </w:pPr>
      <w:r>
        <w:rPr>
          <w:rFonts w:hint="eastAsia" w:ascii="宋体" w:hAnsi="宋体" w:cs="宋体"/>
          <w:sz w:val="24"/>
          <w:szCs w:val="24"/>
        </w:rPr>
        <w:t>（4）投标产品技术参数表。</w:t>
      </w:r>
    </w:p>
    <w:p>
      <w:pPr>
        <w:snapToGrid w:val="0"/>
        <w:spacing w:line="360" w:lineRule="auto"/>
        <w:ind w:firstLine="400" w:firstLineChars="167"/>
        <w:rPr>
          <w:rFonts w:hAnsi="宋体" w:cs="宋体"/>
          <w:sz w:val="24"/>
          <w:szCs w:val="24"/>
        </w:rPr>
      </w:pPr>
      <w:r>
        <w:rPr>
          <w:rFonts w:hint="eastAsia" w:hAnsi="宋体" w:cs="宋体"/>
          <w:kern w:val="2"/>
          <w:sz w:val="24"/>
          <w:szCs w:val="24"/>
        </w:rPr>
        <w:t>7.3 商务部分。</w:t>
      </w:r>
      <w:r>
        <w:rPr>
          <w:rFonts w:hint="eastAsia" w:hAnsi="宋体" w:cs="宋体"/>
          <w:bCs/>
          <w:sz w:val="24"/>
          <w:szCs w:val="24"/>
        </w:rPr>
        <w:t>投标人</w:t>
      </w:r>
      <w:r>
        <w:rPr>
          <w:rFonts w:hint="eastAsia" w:hAnsi="宋体" w:cs="宋体"/>
          <w:sz w:val="24"/>
          <w:szCs w:val="24"/>
        </w:rPr>
        <w:t>按照招标文件要求提供的有关证明材料及优惠承诺。包括以下内容：</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（1）投标函；</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（2）法定代表人授权书；</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（3）法定代表人和授权代表人身份证复印件；</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（4）证明投标人业绩的有关材料；</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（5）商务应答表。</w:t>
      </w:r>
    </w:p>
    <w:p>
      <w:pPr>
        <w:pStyle w:val="6"/>
        <w:tabs>
          <w:tab w:val="left" w:pos="3480"/>
        </w:tabs>
        <w:snapToGrid w:val="0"/>
        <w:spacing w:before="0" w:after="0" w:line="360" w:lineRule="auto"/>
        <w:ind w:firstLine="120" w:firstLineChars="50"/>
        <w:rPr>
          <w:rFonts w:hAnsi="宋体" w:cs="宋体"/>
          <w:sz w:val="24"/>
          <w:szCs w:val="24"/>
        </w:rPr>
      </w:pPr>
      <w:r>
        <w:rPr>
          <w:rFonts w:hint="eastAsia" w:hAnsi="宋体" w:cs="宋体"/>
          <w:sz w:val="24"/>
          <w:szCs w:val="24"/>
        </w:rPr>
        <w:t>8．投标文件格式</w:t>
      </w:r>
      <w:bookmarkEnd w:id="43"/>
      <w:bookmarkEnd w:id="44"/>
      <w:bookmarkEnd w:id="45"/>
      <w:r>
        <w:rPr>
          <w:rFonts w:hint="eastAsia" w:hAnsi="宋体" w:cs="宋体"/>
          <w:sz w:val="24"/>
          <w:szCs w:val="24"/>
        </w:rPr>
        <w:tab/>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8.1 投标人应严格按照招标文件第三章中提供的“投标文件格式”填写相关内容。除明确允许投标人可以自行编写的外，投标人不得以“投标文件格式”规定之外的方式填写相关内容。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8.2 对于没有格式要求的投标文件由投标人自行编写。</w:t>
      </w:r>
    </w:p>
    <w:p>
      <w:pPr>
        <w:pStyle w:val="6"/>
        <w:snapToGrid w:val="0"/>
        <w:spacing w:before="0" w:after="0" w:line="360" w:lineRule="auto"/>
        <w:ind w:firstLine="161" w:firstLineChars="67"/>
        <w:rPr>
          <w:rFonts w:hAnsi="宋体" w:cs="宋体"/>
          <w:sz w:val="24"/>
          <w:szCs w:val="24"/>
        </w:rPr>
      </w:pPr>
      <w:bookmarkStart w:id="46" w:name="_Toc183582224"/>
      <w:bookmarkStart w:id="47" w:name="_Toc217446051"/>
      <w:bookmarkStart w:id="48" w:name="_Toc183682361"/>
      <w:r>
        <w:rPr>
          <w:rFonts w:hint="eastAsia" w:hAnsi="宋体" w:cs="宋体"/>
          <w:sz w:val="24"/>
          <w:szCs w:val="24"/>
        </w:rPr>
        <w:t>9．投标有效期</w:t>
      </w:r>
      <w:bookmarkEnd w:id="46"/>
      <w:bookmarkEnd w:id="47"/>
      <w:bookmarkEnd w:id="48"/>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投标有效期为开标后 30天。</w:t>
      </w:r>
    </w:p>
    <w:p>
      <w:pPr>
        <w:pStyle w:val="6"/>
        <w:snapToGrid w:val="0"/>
        <w:spacing w:before="0" w:after="0" w:line="360" w:lineRule="auto"/>
        <w:ind w:firstLine="161" w:firstLineChars="67"/>
        <w:rPr>
          <w:rFonts w:hAnsi="宋体" w:cs="宋体"/>
          <w:sz w:val="24"/>
          <w:szCs w:val="24"/>
        </w:rPr>
      </w:pPr>
      <w:bookmarkStart w:id="49" w:name="_Toc183582226"/>
      <w:bookmarkStart w:id="50" w:name="_Toc77400781"/>
      <w:bookmarkStart w:id="51" w:name="_Toc89075877"/>
      <w:bookmarkStart w:id="52" w:name="_Toc183682363"/>
      <w:bookmarkStart w:id="53" w:name="_Toc217446053"/>
      <w:r>
        <w:rPr>
          <w:rFonts w:hint="eastAsia" w:hAnsi="宋体" w:cs="宋体"/>
          <w:sz w:val="24"/>
          <w:szCs w:val="24"/>
        </w:rPr>
        <w:t>10. 投标文件的密封和标</w:t>
      </w:r>
      <w:bookmarkEnd w:id="49"/>
      <w:bookmarkEnd w:id="50"/>
      <w:bookmarkEnd w:id="51"/>
      <w:bookmarkEnd w:id="52"/>
      <w:r>
        <w:rPr>
          <w:rFonts w:hint="eastAsia" w:hAnsi="宋体" w:cs="宋体"/>
          <w:sz w:val="24"/>
          <w:szCs w:val="24"/>
        </w:rPr>
        <w:t>注</w:t>
      </w:r>
      <w:bookmarkEnd w:id="53"/>
    </w:p>
    <w:p>
      <w:pPr>
        <w:tabs>
          <w:tab w:val="left" w:pos="7665"/>
        </w:tabs>
        <w:snapToGrid w:val="0"/>
        <w:spacing w:line="360" w:lineRule="auto"/>
        <w:ind w:hanging="1"/>
        <w:rPr>
          <w:rFonts w:hAnsi="宋体" w:cs="宋体"/>
          <w:sz w:val="24"/>
          <w:szCs w:val="24"/>
        </w:rPr>
      </w:pPr>
      <w:r>
        <w:rPr>
          <w:rFonts w:hint="eastAsia" w:hAnsi="宋体" w:cs="宋体"/>
          <w:sz w:val="24"/>
          <w:szCs w:val="24"/>
        </w:rPr>
        <w:t>10.1 投标人应在投标文件正本封面上注明投标人名称、招标编号、项目名称。</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10.2 所有外层密封袋的封口处应粘贴牢固，并加盖密封章（投标人印章）。</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 xml:space="preserve">10.3 未按以上要求进行密封和标注的投标文件将被拒绝。 </w:t>
      </w:r>
    </w:p>
    <w:p>
      <w:pPr>
        <w:pStyle w:val="6"/>
        <w:snapToGrid w:val="0"/>
        <w:spacing w:before="0" w:after="0" w:line="360" w:lineRule="auto"/>
        <w:ind w:firstLine="161" w:firstLineChars="67"/>
        <w:rPr>
          <w:rFonts w:hAnsi="宋体" w:cs="宋体"/>
          <w:sz w:val="24"/>
          <w:szCs w:val="24"/>
        </w:rPr>
      </w:pPr>
      <w:bookmarkStart w:id="54" w:name="_Toc183582227"/>
      <w:bookmarkStart w:id="55" w:name="_Toc183682364"/>
      <w:bookmarkStart w:id="56" w:name="_Toc217446054"/>
      <w:r>
        <w:rPr>
          <w:rFonts w:hint="eastAsia" w:hAnsi="宋体" w:cs="宋体"/>
          <w:sz w:val="24"/>
          <w:szCs w:val="24"/>
        </w:rPr>
        <w:t>11．投标文件的</w:t>
      </w:r>
      <w:bookmarkEnd w:id="54"/>
      <w:bookmarkEnd w:id="55"/>
      <w:r>
        <w:rPr>
          <w:rFonts w:hint="eastAsia" w:hAnsi="宋体" w:cs="宋体"/>
          <w:sz w:val="24"/>
          <w:szCs w:val="24"/>
        </w:rPr>
        <w:t>递交</w:t>
      </w:r>
      <w:bookmarkEnd w:id="56"/>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11.1投标人应在招标文件规定的投标截止时间前，将投标文件按规定密封后送达开标地点。投标截止时间以后送达的投标文件将被拒绝。</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11.2 本次招标不接受邮寄的投标文件。</w:t>
      </w:r>
    </w:p>
    <w:p>
      <w:pPr>
        <w:pStyle w:val="6"/>
        <w:snapToGrid w:val="0"/>
        <w:spacing w:before="0" w:after="0" w:line="360" w:lineRule="auto"/>
        <w:ind w:firstLine="161" w:firstLineChars="67"/>
        <w:rPr>
          <w:rFonts w:hAnsi="宋体" w:cs="宋体"/>
          <w:sz w:val="24"/>
          <w:szCs w:val="24"/>
        </w:rPr>
      </w:pPr>
      <w:bookmarkStart w:id="57" w:name="_Toc183682365"/>
      <w:bookmarkStart w:id="58" w:name="_Toc183582228"/>
      <w:bookmarkStart w:id="59" w:name="_Toc217446055"/>
      <w:r>
        <w:rPr>
          <w:rFonts w:hint="eastAsia" w:hAnsi="宋体" w:cs="宋体"/>
          <w:sz w:val="24"/>
          <w:szCs w:val="24"/>
        </w:rPr>
        <w:t>12．投标文件的修改和撤</w:t>
      </w:r>
      <w:bookmarkEnd w:id="57"/>
      <w:bookmarkEnd w:id="58"/>
      <w:r>
        <w:rPr>
          <w:rFonts w:hint="eastAsia" w:hAnsi="宋体" w:cs="宋体"/>
          <w:sz w:val="24"/>
          <w:szCs w:val="24"/>
        </w:rPr>
        <w:t>回</w:t>
      </w:r>
      <w:bookmarkEnd w:id="59"/>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12.1 投标人在递交了投标文件后，可以修改或撤回其投标文件，但必须在规定的投标截止时间前，以书面形式通知采购人。</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12.2 投标人的修改书或撤回通知书，应由其法定代表人或授权代表签署并盖单位印章。修改书应按招标文件规定进行密封和标注，并在密封袋上标注“修改”字样。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12.3 在投标截止时间之后，投标人不得对其递交的投标文件做任何修改或撤回投标。</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12.4 投标文件中如果出现计算上或累加上的算术错误，可按以下原则进行修改：</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（1）用数字表示的金额和用文字表示的金额不一致，应以文字表示的金额为准。</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（2）单价和数量的乘积与总价不一致时，以单价为准，并修正总价。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（3）单价金额小数点有明显错误的，以总价为准，修正单价。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按上述修正错误的方法调整的投标报价应对投标人具有约束力。如果投标人不接受修正后的价格，其投标将被拒绝。</w:t>
      </w:r>
      <w:bookmarkStart w:id="60" w:name="_Toc217446056"/>
      <w:bookmarkStart w:id="61" w:name="_Toc89075878"/>
      <w:bookmarkStart w:id="62" w:name="_Toc77400782"/>
      <w:bookmarkStart w:id="63" w:name="_Toc183582231"/>
      <w:bookmarkStart w:id="64" w:name="_Toc183682368"/>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四、开标、评标和中标</w:t>
      </w:r>
      <w:bookmarkEnd w:id="60"/>
      <w:bookmarkEnd w:id="61"/>
      <w:bookmarkEnd w:id="62"/>
      <w:bookmarkEnd w:id="63"/>
      <w:bookmarkEnd w:id="64"/>
      <w:bookmarkStart w:id="65" w:name="_Toc217446057"/>
      <w:bookmarkStart w:id="66" w:name="_Toc183582232"/>
      <w:bookmarkStart w:id="67" w:name="_Toc183682369"/>
    </w:p>
    <w:p>
      <w:pPr>
        <w:tabs>
          <w:tab w:val="left" w:pos="1095"/>
        </w:tabs>
        <w:snapToGrid w:val="0"/>
        <w:spacing w:line="360" w:lineRule="auto"/>
        <w:rPr>
          <w:rFonts w:hAnsi="宋体" w:cs="宋体"/>
          <w:b/>
          <w:sz w:val="24"/>
          <w:szCs w:val="24"/>
        </w:rPr>
      </w:pPr>
      <w:r>
        <w:rPr>
          <w:rFonts w:hint="eastAsia" w:hAnsi="宋体" w:cs="宋体"/>
          <w:b/>
          <w:sz w:val="24"/>
          <w:szCs w:val="24"/>
        </w:rPr>
        <w:t>13．开标</w:t>
      </w:r>
      <w:bookmarkEnd w:id="65"/>
      <w:bookmarkEnd w:id="66"/>
      <w:bookmarkEnd w:id="67"/>
    </w:p>
    <w:p>
      <w:pPr>
        <w:snapToGrid w:val="0"/>
        <w:spacing w:line="360" w:lineRule="auto"/>
        <w:ind w:firstLine="480" w:firstLineChars="200"/>
        <w:rPr>
          <w:rFonts w:hAnsi="宋体" w:cs="宋体"/>
          <w:b/>
          <w:bCs/>
          <w:sz w:val="24"/>
          <w:szCs w:val="24"/>
        </w:rPr>
      </w:pPr>
      <w:r>
        <w:rPr>
          <w:rFonts w:hint="eastAsia" w:hAnsi="宋体" w:cs="宋体"/>
          <w:sz w:val="24"/>
          <w:szCs w:val="24"/>
        </w:rPr>
        <w:t>13.1 采购人在招标文件规定的时间和地点组织公开开标，投标人须派代表参加并签到以证明其出席。</w:t>
      </w:r>
    </w:p>
    <w:p>
      <w:pPr>
        <w:snapToGrid w:val="0"/>
        <w:spacing w:line="360" w:lineRule="auto"/>
        <w:ind w:firstLine="480" w:firstLineChars="200"/>
        <w:rPr>
          <w:rFonts w:hAnsi="宋体" w:cs="宋体"/>
          <w:sz w:val="24"/>
          <w:szCs w:val="24"/>
        </w:rPr>
      </w:pPr>
      <w:r>
        <w:rPr>
          <w:rFonts w:hint="eastAsia" w:hAnsi="宋体" w:cs="宋体"/>
          <w:sz w:val="24"/>
          <w:szCs w:val="24"/>
        </w:rPr>
        <w:t>13.2 开标时，采购人邀请学校纪检监察室派人对开标及评标全过程进行现场监督。</w:t>
      </w:r>
    </w:p>
    <w:p>
      <w:pPr>
        <w:snapToGrid w:val="0"/>
        <w:spacing w:line="360" w:lineRule="auto"/>
        <w:ind w:firstLine="480" w:firstLineChars="200"/>
        <w:rPr>
          <w:rFonts w:hAnsi="宋体" w:cs="宋体"/>
          <w:sz w:val="24"/>
          <w:szCs w:val="24"/>
        </w:rPr>
      </w:pPr>
      <w:r>
        <w:rPr>
          <w:rFonts w:hint="eastAsia" w:hAnsi="宋体" w:cs="宋体"/>
          <w:sz w:val="24"/>
          <w:szCs w:val="24"/>
        </w:rPr>
        <w:t>13.3投标文件中有关明细表内容与“投标报价表”不一致的，以“投标报价表”为准。</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14．评标</w:t>
      </w:r>
    </w:p>
    <w:p>
      <w:pPr>
        <w:snapToGrid w:val="0"/>
        <w:spacing w:line="360" w:lineRule="auto"/>
        <w:ind w:firstLine="600" w:firstLineChars="250"/>
        <w:rPr>
          <w:rFonts w:hAnsi="宋体" w:cs="宋体"/>
          <w:sz w:val="24"/>
          <w:szCs w:val="24"/>
        </w:rPr>
      </w:pPr>
      <w:r>
        <w:rPr>
          <w:rFonts w:hint="eastAsia" w:hAnsi="宋体" w:cs="宋体"/>
          <w:bCs/>
          <w:sz w:val="24"/>
          <w:szCs w:val="24"/>
        </w:rPr>
        <w:t>评标采用综合评标法（参见第五章）</w:t>
      </w:r>
    </w:p>
    <w:p>
      <w:pPr>
        <w:pStyle w:val="6"/>
        <w:snapToGrid w:val="0"/>
        <w:spacing w:before="0" w:after="0" w:line="360" w:lineRule="auto"/>
        <w:ind w:firstLine="161" w:firstLineChars="67"/>
        <w:rPr>
          <w:rFonts w:hAnsi="宋体" w:cs="宋体"/>
          <w:sz w:val="24"/>
          <w:szCs w:val="24"/>
        </w:rPr>
      </w:pPr>
      <w:bookmarkStart w:id="68" w:name="_Toc183582238"/>
      <w:bookmarkStart w:id="69" w:name="_Toc183682375"/>
      <w:bookmarkStart w:id="70" w:name="_Toc217446063"/>
      <w:r>
        <w:rPr>
          <w:rFonts w:hint="eastAsia" w:hAnsi="宋体" w:cs="宋体"/>
          <w:sz w:val="24"/>
          <w:szCs w:val="24"/>
        </w:rPr>
        <w:t>15．中标通知</w:t>
      </w:r>
      <w:bookmarkEnd w:id="68"/>
      <w:bookmarkEnd w:id="69"/>
      <w:r>
        <w:rPr>
          <w:rFonts w:hint="eastAsia" w:hAnsi="宋体" w:cs="宋体"/>
          <w:sz w:val="24"/>
          <w:szCs w:val="24"/>
        </w:rPr>
        <w:t>书</w:t>
      </w:r>
      <w:bookmarkEnd w:id="70"/>
    </w:p>
    <w:p>
      <w:pPr>
        <w:tabs>
          <w:tab w:val="left" w:pos="7665"/>
        </w:tabs>
        <w:snapToGrid w:val="0"/>
        <w:spacing w:line="360" w:lineRule="auto"/>
        <w:rPr>
          <w:rFonts w:hAnsi="宋体" w:cs="宋体"/>
          <w:sz w:val="24"/>
          <w:szCs w:val="24"/>
        </w:rPr>
      </w:pPr>
      <w:r>
        <w:rPr>
          <w:rFonts w:hint="eastAsia" w:hAnsi="宋体" w:cs="宋体"/>
          <w:sz w:val="24"/>
          <w:szCs w:val="24"/>
        </w:rPr>
        <w:t xml:space="preserve">    15</w:t>
      </w:r>
      <w:r>
        <w:rPr>
          <w:rFonts w:hint="eastAsia" w:hAnsi="宋体" w:cs="宋体"/>
          <w:b/>
          <w:bCs/>
          <w:sz w:val="24"/>
          <w:szCs w:val="24"/>
        </w:rPr>
        <w:t>.</w:t>
      </w:r>
      <w:r>
        <w:rPr>
          <w:rFonts w:hint="eastAsia" w:hAnsi="宋体" w:cs="宋体"/>
          <w:sz w:val="24"/>
          <w:szCs w:val="24"/>
        </w:rPr>
        <w:t>1 中标通知书为签订采购合同的依据，是合同的有效组成部分。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15.2 中标通知书对采购人和中标人均具有法律效力。中标通知书发出后，采购人改变中标结果，或者中标人无正当理由放弃中标的，应当承担相应的法律责任。</w:t>
      </w:r>
      <w:bookmarkStart w:id="71" w:name="_Toc217446064"/>
      <w:bookmarkStart w:id="72" w:name="_Toc183582240"/>
      <w:bookmarkStart w:id="73" w:name="_Toc183682377"/>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五、签订及履行合同和验收</w:t>
      </w:r>
      <w:bookmarkEnd w:id="71"/>
    </w:p>
    <w:p>
      <w:pPr>
        <w:pStyle w:val="5"/>
        <w:snapToGrid w:val="0"/>
        <w:spacing w:before="0" w:after="0" w:line="360" w:lineRule="auto"/>
        <w:ind w:firstLine="161" w:firstLineChars="67"/>
        <w:rPr>
          <w:rFonts w:ascii="宋体" w:hAnsi="宋体" w:eastAsia="宋体" w:cs="宋体"/>
          <w:sz w:val="24"/>
          <w:szCs w:val="24"/>
        </w:rPr>
      </w:pPr>
      <w:bookmarkStart w:id="74" w:name="_Toc217446065"/>
      <w:r>
        <w:rPr>
          <w:rFonts w:hint="eastAsia" w:ascii="宋体" w:hAnsi="宋体" w:eastAsia="宋体" w:cs="宋体"/>
          <w:sz w:val="24"/>
          <w:szCs w:val="24"/>
        </w:rPr>
        <w:t>16. 签订合同</w:t>
      </w:r>
      <w:bookmarkEnd w:id="74"/>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16.1中标人在收到招标人发出的《中标通知书》后，应在5个工作日内与采购人签订采购合同。由于中标人的原因逾期未与采购人签订采购合同的，将视为放弃中标，采购人有权取消其中标资格并将按相关规定进行处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16.3 中标人因不可抗力原因不能履行采购合同或放弃中标的，采购人可以与排在中标人之后第一位的中标候选人签订采购合同，以此类推。</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16.4 中标人在合同签订之后5个工作日内，将签订的合同原件（三份）送采购人。</w:t>
      </w:r>
    </w:p>
    <w:p>
      <w:pPr>
        <w:pStyle w:val="5"/>
        <w:snapToGrid w:val="0"/>
        <w:spacing w:before="0" w:after="0" w:line="360" w:lineRule="auto"/>
        <w:ind w:firstLine="161" w:firstLineChars="67"/>
        <w:rPr>
          <w:rFonts w:ascii="宋体" w:hAnsi="宋体" w:eastAsia="宋体" w:cs="宋体"/>
          <w:sz w:val="24"/>
          <w:szCs w:val="24"/>
        </w:rPr>
      </w:pPr>
      <w:bookmarkStart w:id="75" w:name="_Toc217446069"/>
      <w:r>
        <w:rPr>
          <w:rFonts w:hint="eastAsia" w:ascii="宋体" w:hAnsi="宋体" w:eastAsia="宋体" w:cs="宋体"/>
          <w:sz w:val="24"/>
          <w:szCs w:val="24"/>
        </w:rPr>
        <w:t>17. 履行合同</w:t>
      </w:r>
      <w:bookmarkEnd w:id="75"/>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17.1 中标人与采购人签订合同后，合同双方应严格执行合同条款，履行合同规定的义务，保证合同的顺利完成。</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17.2 在合同履行过程中，如发生合同纠纷，合同双方应按照《合同法》争议解决条款的有关规定进行处理。</w:t>
      </w:r>
    </w:p>
    <w:p>
      <w:pPr>
        <w:pStyle w:val="5"/>
        <w:snapToGrid w:val="0"/>
        <w:spacing w:before="0" w:after="0" w:line="360" w:lineRule="auto"/>
        <w:ind w:firstLine="161" w:firstLineChars="67"/>
        <w:rPr>
          <w:rFonts w:ascii="宋体" w:hAnsi="宋体" w:eastAsia="宋体" w:cs="宋体"/>
          <w:sz w:val="24"/>
          <w:szCs w:val="24"/>
        </w:rPr>
      </w:pPr>
      <w:bookmarkStart w:id="76" w:name="_Toc217446070"/>
      <w:r>
        <w:rPr>
          <w:rFonts w:hint="eastAsia" w:ascii="宋体" w:hAnsi="宋体" w:eastAsia="宋体" w:cs="宋体"/>
          <w:sz w:val="24"/>
          <w:szCs w:val="24"/>
        </w:rPr>
        <w:t>18. 验收</w:t>
      </w:r>
      <w:bookmarkEnd w:id="76"/>
    </w:p>
    <w:bookmarkEnd w:id="72"/>
    <w:bookmarkEnd w:id="73"/>
    <w:p>
      <w:pPr>
        <w:tabs>
          <w:tab w:val="left" w:pos="7665"/>
        </w:tabs>
        <w:snapToGrid w:val="0"/>
        <w:spacing w:line="360" w:lineRule="auto"/>
        <w:ind w:firstLine="480" w:firstLineChars="200"/>
        <w:rPr>
          <w:rFonts w:hAnsi="宋体" w:cs="宋体"/>
          <w:sz w:val="24"/>
          <w:szCs w:val="24"/>
        </w:rPr>
      </w:pPr>
      <w:bookmarkStart w:id="77" w:name="_Toc217446071"/>
      <w:bookmarkStart w:id="78" w:name="_Toc217446074"/>
      <w:bookmarkStart w:id="79" w:name="_Toc183682380"/>
      <w:bookmarkStart w:id="80" w:name="_Toc183582243"/>
      <w:r>
        <w:rPr>
          <w:rFonts w:hint="eastAsia" w:hAnsi="宋体" w:cs="宋体"/>
          <w:sz w:val="24"/>
          <w:szCs w:val="24"/>
        </w:rPr>
        <w:t xml:space="preserve"> 中标人与采购人按照招标项目技术、商务及其他要求（参见第四章）进行验收，采购人也可依据合同自行组织验收。</w:t>
      </w:r>
    </w:p>
    <w:bookmarkEnd w:id="77"/>
    <w:p>
      <w:pPr>
        <w:pStyle w:val="5"/>
        <w:snapToGrid w:val="0"/>
        <w:spacing w:before="0" w:after="0" w:line="360" w:lineRule="auto"/>
        <w:jc w:val="center"/>
        <w:rPr>
          <w:rFonts w:ascii="宋体" w:hAnsi="宋体" w:eastAsia="宋体" w:cs="宋体"/>
          <w:sz w:val="30"/>
          <w:szCs w:val="30"/>
        </w:rPr>
      </w:pPr>
      <w:r>
        <w:rPr>
          <w:rFonts w:hint="eastAsia" w:ascii="宋体" w:hAnsi="宋体" w:eastAsia="宋体" w:cs="宋体"/>
          <w:sz w:val="30"/>
          <w:szCs w:val="30"/>
        </w:rPr>
        <w:t>六、投标纪律要求</w:t>
      </w:r>
      <w:bookmarkEnd w:id="78"/>
    </w:p>
    <w:p>
      <w:pPr>
        <w:pStyle w:val="5"/>
        <w:snapToGrid w:val="0"/>
        <w:spacing w:before="0" w:after="0" w:line="360" w:lineRule="auto"/>
        <w:ind w:firstLine="161" w:firstLineChars="67"/>
        <w:rPr>
          <w:rFonts w:ascii="宋体" w:hAnsi="宋体" w:eastAsia="宋体" w:cs="宋体"/>
          <w:sz w:val="24"/>
          <w:szCs w:val="24"/>
        </w:rPr>
      </w:pPr>
      <w:bookmarkStart w:id="81" w:name="_Toc217446075"/>
      <w:r>
        <w:rPr>
          <w:rFonts w:hint="eastAsia" w:ascii="宋体" w:hAnsi="宋体" w:eastAsia="宋体" w:cs="宋体"/>
          <w:sz w:val="24"/>
          <w:szCs w:val="24"/>
        </w:rPr>
        <w:t>19. 投标人不得具有的情形</w:t>
      </w:r>
      <w:bookmarkEnd w:id="81"/>
    </w:p>
    <w:p>
      <w:pPr>
        <w:pStyle w:val="7"/>
        <w:snapToGrid w:val="0"/>
        <w:spacing w:line="360" w:lineRule="auto"/>
        <w:ind w:firstLine="160" w:firstLineChars="67"/>
        <w:rPr>
          <w:rFonts w:hAnsi="宋体" w:cs="宋体"/>
          <w:sz w:val="24"/>
        </w:rPr>
      </w:pPr>
      <w:r>
        <w:rPr>
          <w:rFonts w:hint="eastAsia" w:hAnsi="宋体" w:cs="宋体"/>
          <w:sz w:val="24"/>
        </w:rPr>
        <w:t>投标人参加投标不得有下列情形：</w:t>
      </w:r>
    </w:p>
    <w:p>
      <w:pPr>
        <w:pStyle w:val="7"/>
        <w:snapToGrid w:val="0"/>
        <w:spacing w:line="360" w:lineRule="auto"/>
        <w:ind w:firstLine="160" w:firstLineChars="67"/>
        <w:rPr>
          <w:rFonts w:hAnsi="宋体" w:cs="宋体"/>
          <w:sz w:val="24"/>
        </w:rPr>
      </w:pPr>
      <w:r>
        <w:rPr>
          <w:rFonts w:hint="eastAsia" w:hAnsi="宋体" w:cs="宋体"/>
          <w:sz w:val="24"/>
        </w:rPr>
        <w:t>（1）提供虚假材料谋取中标；</w:t>
      </w:r>
    </w:p>
    <w:p>
      <w:pPr>
        <w:pStyle w:val="7"/>
        <w:snapToGrid w:val="0"/>
        <w:spacing w:line="360" w:lineRule="auto"/>
        <w:ind w:firstLine="160" w:firstLineChars="67"/>
        <w:rPr>
          <w:rFonts w:hAnsi="宋体" w:cs="宋体"/>
          <w:sz w:val="24"/>
        </w:rPr>
      </w:pPr>
      <w:r>
        <w:rPr>
          <w:rFonts w:hint="eastAsia" w:hAnsi="宋体" w:cs="宋体"/>
          <w:sz w:val="24"/>
        </w:rPr>
        <w:t>（2）采取不正当手段诋毁、排挤其他投标人；</w:t>
      </w:r>
    </w:p>
    <w:p>
      <w:pPr>
        <w:pStyle w:val="7"/>
        <w:snapToGrid w:val="0"/>
        <w:spacing w:line="360" w:lineRule="auto"/>
        <w:ind w:firstLine="160" w:firstLineChars="67"/>
        <w:rPr>
          <w:rFonts w:hAnsi="宋体" w:cs="宋体"/>
          <w:sz w:val="24"/>
        </w:rPr>
      </w:pPr>
      <w:r>
        <w:rPr>
          <w:rFonts w:hint="eastAsia" w:hAnsi="宋体" w:cs="宋体"/>
          <w:sz w:val="24"/>
        </w:rPr>
        <w:t>（3）与招标采购单位、其他投标人恶意串通；</w:t>
      </w:r>
    </w:p>
    <w:p>
      <w:pPr>
        <w:pStyle w:val="7"/>
        <w:snapToGrid w:val="0"/>
        <w:spacing w:line="360" w:lineRule="auto"/>
        <w:ind w:firstLine="160" w:firstLineChars="67"/>
        <w:rPr>
          <w:rFonts w:hAnsi="宋体" w:cs="宋体"/>
          <w:sz w:val="24"/>
        </w:rPr>
      </w:pPr>
      <w:r>
        <w:rPr>
          <w:rFonts w:hint="eastAsia" w:hAnsi="宋体" w:cs="宋体"/>
          <w:sz w:val="24"/>
        </w:rPr>
        <w:t>（4）向招标采购单位、采购小组成员行贿或者提供其他不正当利益；</w:t>
      </w:r>
    </w:p>
    <w:p>
      <w:pPr>
        <w:pStyle w:val="7"/>
        <w:snapToGrid w:val="0"/>
        <w:spacing w:line="360" w:lineRule="auto"/>
        <w:ind w:firstLine="160" w:firstLineChars="67"/>
        <w:rPr>
          <w:rFonts w:hAnsi="宋体" w:cs="宋体"/>
          <w:sz w:val="24"/>
        </w:rPr>
      </w:pPr>
      <w:r>
        <w:rPr>
          <w:rFonts w:hint="eastAsia" w:hAnsi="宋体" w:cs="宋体"/>
          <w:sz w:val="24"/>
        </w:rPr>
        <w:t>（5）在招标过程中与招标采购单位进行协商谈判；</w:t>
      </w:r>
    </w:p>
    <w:p>
      <w:pPr>
        <w:pStyle w:val="7"/>
        <w:snapToGrid w:val="0"/>
        <w:spacing w:line="360" w:lineRule="auto"/>
        <w:ind w:firstLine="160" w:firstLineChars="67"/>
        <w:rPr>
          <w:rFonts w:hAnsi="宋体" w:cs="宋体"/>
          <w:sz w:val="24"/>
        </w:rPr>
      </w:pPr>
      <w:r>
        <w:rPr>
          <w:rFonts w:hint="eastAsia" w:hAnsi="宋体" w:cs="宋体"/>
          <w:sz w:val="24"/>
        </w:rPr>
        <w:t>（6）拒绝有关部门的监督检查或者向监督检查部门提供虚假情况。</w:t>
      </w:r>
    </w:p>
    <w:p>
      <w:pPr>
        <w:pStyle w:val="7"/>
        <w:snapToGrid w:val="0"/>
        <w:spacing w:line="360" w:lineRule="auto"/>
        <w:ind w:firstLine="160" w:firstLineChars="67"/>
        <w:rPr>
          <w:rFonts w:hAnsi="宋体" w:cs="宋体"/>
          <w:sz w:val="24"/>
        </w:rPr>
      </w:pPr>
      <w:r>
        <w:rPr>
          <w:rFonts w:hint="eastAsia" w:hAnsi="宋体" w:cs="宋体"/>
          <w:sz w:val="24"/>
        </w:rPr>
        <w:t>有上述情形之一的投标人，属于不合格投标人，其投标或中标资格将被取消。</w:t>
      </w:r>
    </w:p>
    <w:p>
      <w:pPr>
        <w:pStyle w:val="11"/>
        <w:snapToGrid w:val="0"/>
        <w:spacing w:line="360" w:lineRule="auto"/>
        <w:ind w:left="630" w:firstLine="3162" w:firstLineChars="1050"/>
        <w:rPr>
          <w:rFonts w:hAnsi="宋体" w:cs="宋体"/>
          <w:b/>
          <w:bCs/>
          <w:sz w:val="30"/>
          <w:szCs w:val="30"/>
        </w:rPr>
      </w:pPr>
      <w:bookmarkStart w:id="82" w:name="_Toc217446078"/>
      <w:r>
        <w:rPr>
          <w:rFonts w:hint="eastAsia" w:hAnsi="宋体" w:cs="宋体"/>
          <w:b/>
          <w:bCs/>
          <w:sz w:val="30"/>
          <w:szCs w:val="30"/>
        </w:rPr>
        <w:t>七、质疑</w:t>
      </w:r>
      <w:bookmarkEnd w:id="82"/>
      <w:bookmarkStart w:id="83" w:name="_Toc217446079"/>
    </w:p>
    <w:bookmarkEnd w:id="83"/>
    <w:p>
      <w:pPr>
        <w:pStyle w:val="5"/>
        <w:snapToGrid w:val="0"/>
        <w:spacing w:before="0" w:after="0" w:line="360" w:lineRule="auto"/>
        <w:ind w:left="1375" w:leftChars="50" w:hanging="1205" w:hangingChars="500"/>
        <w:rPr>
          <w:rFonts w:ascii="宋体" w:hAnsi="宋体" w:eastAsia="宋体" w:cs="宋体"/>
          <w:sz w:val="24"/>
          <w:szCs w:val="24"/>
        </w:rPr>
      </w:pPr>
      <w:r>
        <w:rPr>
          <w:rFonts w:hint="eastAsia" w:ascii="宋体" w:hAnsi="宋体" w:eastAsia="宋体" w:cs="宋体"/>
          <w:sz w:val="24"/>
          <w:szCs w:val="24"/>
        </w:rPr>
        <w:t>20.质疑。</w:t>
      </w:r>
      <w:bookmarkEnd w:id="79"/>
      <w:bookmarkEnd w:id="80"/>
    </w:p>
    <w:p>
      <w:pPr>
        <w:pStyle w:val="7"/>
        <w:snapToGrid w:val="0"/>
        <w:spacing w:line="360" w:lineRule="auto"/>
        <w:ind w:firstLine="160" w:firstLineChars="67"/>
        <w:rPr>
          <w:rFonts w:hAnsi="宋体" w:cs="宋体"/>
          <w:sz w:val="24"/>
        </w:rPr>
      </w:pPr>
      <w:r>
        <w:rPr>
          <w:rFonts w:hint="eastAsia" w:hAnsi="宋体" w:cs="宋体"/>
          <w:sz w:val="24"/>
        </w:rPr>
        <w:t>在招标投标过程中，如有任何质疑，可向四川铁道职业学院纪检监察室询问，联系电话：028-68939969。</w:t>
      </w:r>
      <w:bookmarkStart w:id="84" w:name="_Toc358883243"/>
    </w:p>
    <w:p>
      <w:pPr>
        <w:pStyle w:val="11"/>
        <w:snapToGrid w:val="0"/>
        <w:spacing w:line="360" w:lineRule="auto"/>
        <w:ind w:firstLine="480" w:firstLineChars="200"/>
        <w:rPr>
          <w:rFonts w:hAnsi="宋体" w:cs="宋体"/>
          <w:sz w:val="24"/>
        </w:rPr>
      </w:pPr>
    </w:p>
    <w:p>
      <w:pPr>
        <w:pStyle w:val="11"/>
        <w:snapToGrid w:val="0"/>
        <w:spacing w:line="360" w:lineRule="auto"/>
        <w:ind w:firstLine="480" w:firstLineChars="200"/>
        <w:rPr>
          <w:rFonts w:hAnsi="宋体" w:cs="宋体"/>
          <w:sz w:val="24"/>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rPr>
          <w:rFonts w:ascii="Times New Roman"/>
        </w:rPr>
      </w:pPr>
    </w:p>
    <w:p>
      <w:pPr>
        <w:pStyle w:val="4"/>
        <w:snapToGrid w:val="0"/>
        <w:spacing w:before="0" w:after="0" w:line="360" w:lineRule="auto"/>
        <w:jc w:val="center"/>
        <w:rPr>
          <w:rFonts w:hAnsi="宋体" w:cs="宋体"/>
          <w:sz w:val="30"/>
          <w:szCs w:val="30"/>
        </w:rPr>
      </w:pPr>
      <w:r>
        <w:rPr>
          <w:rFonts w:hint="eastAsia" w:hAnsi="宋体" w:cs="宋体"/>
          <w:sz w:val="30"/>
          <w:szCs w:val="30"/>
        </w:rPr>
        <w:t>第三章 投标文件格式</w:t>
      </w:r>
      <w:bookmarkEnd w:id="84"/>
    </w:p>
    <w:p>
      <w:pPr>
        <w:pStyle w:val="5"/>
        <w:snapToGrid w:val="0"/>
        <w:spacing w:before="0" w:after="0" w:line="360" w:lineRule="auto"/>
        <w:jc w:val="center"/>
        <w:rPr>
          <w:rFonts w:ascii="宋体" w:hAnsi="宋体" w:eastAsia="宋体" w:cs="宋体"/>
        </w:rPr>
      </w:pPr>
      <w:bookmarkStart w:id="85" w:name="_Toc217446082"/>
      <w:r>
        <w:rPr>
          <w:rFonts w:hint="eastAsia" w:ascii="宋体" w:hAnsi="宋体" w:eastAsia="宋体" w:cs="宋体"/>
        </w:rPr>
        <w:t>一、投 标 函</w:t>
      </w:r>
      <w:bookmarkEnd w:id="85"/>
    </w:p>
    <w:p>
      <w:pPr>
        <w:pStyle w:val="11"/>
        <w:snapToGrid w:val="0"/>
        <w:spacing w:line="348" w:lineRule="auto"/>
        <w:ind w:hanging="1"/>
        <w:jc w:val="left"/>
        <w:rPr>
          <w:rFonts w:hAnsi="宋体" w:cs="宋体"/>
          <w:bCs/>
          <w:sz w:val="24"/>
          <w:szCs w:val="24"/>
        </w:rPr>
      </w:pPr>
      <w:bookmarkStart w:id="86" w:name="_Toc217446083"/>
      <w:r>
        <w:rPr>
          <w:rFonts w:hint="eastAsia" w:hAnsi="宋体" w:cs="宋体"/>
          <w:bCs/>
          <w:sz w:val="24"/>
          <w:szCs w:val="24"/>
        </w:rPr>
        <w:t>__________________（采购人名称）：</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我方全面研究了 “”项目招标文件（招标编号），决定参加贵单位组织的本项目投标。我方授权（姓名、职务）代表我方（投标单位的名称）全权处理本项目投标的有关事宜。</w:t>
      </w:r>
    </w:p>
    <w:p>
      <w:pPr>
        <w:pStyle w:val="11"/>
        <w:numPr>
          <w:ilvl w:val="0"/>
          <w:numId w:val="5"/>
        </w:numPr>
        <w:snapToGrid w:val="0"/>
        <w:spacing w:line="348" w:lineRule="auto"/>
        <w:ind w:firstLine="484" w:firstLineChars="202"/>
        <w:rPr>
          <w:rFonts w:hAnsi="宋体" w:cs="宋体"/>
          <w:bCs/>
          <w:sz w:val="24"/>
          <w:szCs w:val="24"/>
          <w:u w:val="single"/>
        </w:rPr>
      </w:pPr>
      <w:r>
        <w:rPr>
          <w:rFonts w:hint="eastAsia" w:hAnsi="宋体" w:cs="宋体"/>
          <w:bCs/>
          <w:sz w:val="24"/>
          <w:szCs w:val="24"/>
        </w:rPr>
        <w:t>我方自愿按照招标文件规定的各项要求向采购人提供所需服务，总投标价为</w:t>
      </w:r>
    </w:p>
    <w:p>
      <w:pPr>
        <w:pStyle w:val="11"/>
        <w:snapToGrid w:val="0"/>
        <w:spacing w:line="348" w:lineRule="auto"/>
        <w:ind w:firstLine="0"/>
        <w:jc w:val="left"/>
        <w:rPr>
          <w:rFonts w:hAnsi="宋体" w:cs="宋体"/>
          <w:bCs/>
          <w:sz w:val="24"/>
          <w:szCs w:val="24"/>
        </w:rPr>
      </w:pPr>
      <w:r>
        <w:rPr>
          <w:rFonts w:hint="eastAsia" w:hAnsi="宋体" w:cs="宋体"/>
          <w:bCs/>
          <w:sz w:val="24"/>
          <w:szCs w:val="24"/>
        </w:rPr>
        <w:t>人民币元（大写：）。</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2、一旦我方中标，我方将严格履行合同规定的责任和义务，保证于合同签字生效  工作日内完成应尽义务，并交付采购人验收、使用。</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3、我方为本项目提交的投标文件正本壹份。</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4、我方愿意提供贵公司可能另外要求的，与投标有关的文件资料，并保证我方已提供和将要提供的文件资料是真实、准确的。</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5、我方同意本次招标的投标有效期为 。</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6、我方完全理解采购人不一定将合同授予最低报价的投标人的行为。</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投标人名称：        （盖章）</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法定代表人或授权代表（签字）：</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通讯地址：</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邮政编码：</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联系电话：</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传    真：</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日    期：</w:t>
      </w: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rPr>
          <w:rFonts w:ascii="Times New Roman"/>
        </w:rPr>
      </w:pPr>
    </w:p>
    <w:p>
      <w:pPr>
        <w:rPr>
          <w:rFonts w:ascii="Times New Roman"/>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二、法定代表人授权书</w:t>
      </w:r>
      <w:bookmarkEnd w:id="86"/>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r>
        <w:rPr>
          <w:rFonts w:hint="eastAsia" w:hAnsi="宋体" w:cs="宋体"/>
          <w:sz w:val="24"/>
          <w:szCs w:val="24"/>
        </w:rPr>
        <w:t>__________________（采购人名称）：</w:t>
      </w:r>
    </w:p>
    <w:p>
      <w:pPr>
        <w:snapToGrid w:val="0"/>
        <w:spacing w:line="360" w:lineRule="auto"/>
        <w:ind w:firstLine="480" w:firstLineChars="200"/>
        <w:jc w:val="left"/>
        <w:rPr>
          <w:rFonts w:hAnsi="宋体" w:cs="宋体"/>
          <w:sz w:val="24"/>
          <w:szCs w:val="24"/>
        </w:rPr>
      </w:pPr>
      <w:r>
        <w:rPr>
          <w:rFonts w:hint="eastAsia" w:hAnsi="宋体" w:cs="宋体"/>
          <w:sz w:val="24"/>
          <w:szCs w:val="24"/>
        </w:rPr>
        <w:t>本授权声明：（投标人名称）（法定代表人姓名、职务）授权（被授权人姓名、职务）为我方 “ ” 项目（招标编号）投标活动的合法代表，以我方名义全权处理该项目有关投标、签订合同以及执行合同等一切事宜。</w:t>
      </w:r>
    </w:p>
    <w:p>
      <w:pPr>
        <w:snapToGrid w:val="0"/>
        <w:spacing w:line="360" w:lineRule="auto"/>
        <w:ind w:firstLine="480" w:firstLineChars="200"/>
        <w:jc w:val="left"/>
        <w:rPr>
          <w:rFonts w:hAnsi="宋体" w:cs="宋体"/>
          <w:sz w:val="24"/>
          <w:szCs w:val="24"/>
        </w:rPr>
      </w:pPr>
      <w:r>
        <w:rPr>
          <w:rFonts w:hint="eastAsia" w:hAnsi="宋体" w:cs="宋体"/>
          <w:sz w:val="24"/>
          <w:szCs w:val="24"/>
        </w:rPr>
        <w:t>特此声明。</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sz w:val="24"/>
          <w:szCs w:val="24"/>
        </w:rPr>
      </w:pPr>
    </w:p>
    <w:p>
      <w:pPr>
        <w:snapToGrid w:val="0"/>
        <w:spacing w:line="360" w:lineRule="auto"/>
        <w:ind w:firstLine="480" w:firstLineChars="200"/>
        <w:jc w:val="left"/>
        <w:rPr>
          <w:rFonts w:hAnsi="宋体" w:cs="宋体"/>
          <w:sz w:val="24"/>
          <w:szCs w:val="24"/>
        </w:rPr>
      </w:pPr>
    </w:p>
    <w:p>
      <w:pPr>
        <w:pStyle w:val="11"/>
        <w:snapToGrid w:val="0"/>
        <w:spacing w:line="360" w:lineRule="auto"/>
        <w:ind w:left="324" w:hanging="324" w:hangingChars="135"/>
        <w:jc w:val="left"/>
        <w:rPr>
          <w:rFonts w:hAnsi="宋体" w:cs="宋体"/>
          <w:bCs/>
          <w:sz w:val="24"/>
          <w:szCs w:val="24"/>
        </w:rPr>
      </w:pPr>
      <w:r>
        <w:rPr>
          <w:rFonts w:hint="eastAsia" w:hAnsi="宋体" w:cs="宋体"/>
          <w:bCs/>
          <w:sz w:val="24"/>
          <w:szCs w:val="24"/>
        </w:rPr>
        <w:t>法定代表人签字：</w:t>
      </w:r>
    </w:p>
    <w:p>
      <w:pPr>
        <w:pStyle w:val="11"/>
        <w:snapToGrid w:val="0"/>
        <w:spacing w:line="360" w:lineRule="auto"/>
        <w:ind w:left="324" w:hanging="324" w:hangingChars="135"/>
        <w:jc w:val="left"/>
        <w:rPr>
          <w:rFonts w:hAnsi="宋体" w:cs="宋体"/>
          <w:bCs/>
          <w:sz w:val="24"/>
          <w:szCs w:val="24"/>
        </w:rPr>
      </w:pPr>
      <w:r>
        <w:rPr>
          <w:rFonts w:hint="eastAsia" w:hAnsi="宋体" w:cs="宋体"/>
          <w:bCs/>
          <w:sz w:val="24"/>
          <w:szCs w:val="24"/>
        </w:rPr>
        <w:t>授权代表签字：</w:t>
      </w:r>
    </w:p>
    <w:p>
      <w:pPr>
        <w:pStyle w:val="11"/>
        <w:snapToGrid w:val="0"/>
        <w:spacing w:line="360" w:lineRule="auto"/>
        <w:ind w:left="324" w:hanging="324" w:hangingChars="135"/>
        <w:jc w:val="left"/>
        <w:rPr>
          <w:rFonts w:hAnsi="宋体" w:cs="宋体"/>
          <w:bCs/>
          <w:sz w:val="24"/>
          <w:szCs w:val="24"/>
        </w:rPr>
      </w:pPr>
      <w:r>
        <w:rPr>
          <w:rFonts w:hint="eastAsia" w:hAnsi="宋体" w:cs="宋体"/>
          <w:bCs/>
          <w:sz w:val="24"/>
          <w:szCs w:val="24"/>
        </w:rPr>
        <w:t>投标人名称：         （盖章）</w:t>
      </w:r>
    </w:p>
    <w:p>
      <w:pPr>
        <w:pStyle w:val="11"/>
        <w:snapToGrid w:val="0"/>
        <w:spacing w:line="360" w:lineRule="auto"/>
        <w:ind w:left="324" w:hanging="324" w:hangingChars="135"/>
        <w:jc w:val="left"/>
        <w:rPr>
          <w:rFonts w:hAnsi="宋体" w:cs="宋体"/>
          <w:bCs/>
          <w:sz w:val="24"/>
          <w:szCs w:val="24"/>
        </w:rPr>
      </w:pPr>
      <w:r>
        <w:rPr>
          <w:rFonts w:hint="eastAsia" w:hAnsi="宋体" w:cs="宋体"/>
          <w:bCs/>
          <w:sz w:val="24"/>
          <w:szCs w:val="24"/>
        </w:rPr>
        <w:t>日    期：</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bookmarkStart w:id="87" w:name="_Toc256175382"/>
      <w:bookmarkStart w:id="88" w:name="_Toc250041691"/>
      <w:bookmarkStart w:id="89" w:name="_Toc297204985"/>
      <w:bookmarkStart w:id="90" w:name="_Toc263753600"/>
      <w:bookmarkStart w:id="91" w:name="_Toc263768864"/>
      <w:bookmarkStart w:id="92" w:name="_Toc237145385"/>
      <w:bookmarkStart w:id="93" w:name="_Toc217446085"/>
    </w:p>
    <w:bookmarkEnd w:id="87"/>
    <w:bookmarkEnd w:id="88"/>
    <w:bookmarkEnd w:id="89"/>
    <w:bookmarkEnd w:id="90"/>
    <w:bookmarkEnd w:id="91"/>
    <w:bookmarkEnd w:id="92"/>
    <w:p>
      <w:pPr>
        <w:adjustRightInd w:val="0"/>
        <w:snapToGrid w:val="0"/>
        <w:spacing w:line="360" w:lineRule="auto"/>
        <w:jc w:val="left"/>
        <w:rPr>
          <w:rFonts w:hAnsi="宋体" w:cs="宋体"/>
          <w:bCs/>
          <w:spacing w:val="8"/>
          <w:sz w:val="24"/>
          <w:szCs w:val="24"/>
        </w:rPr>
        <w:sectPr>
          <w:footerReference r:id="rId6" w:type="default"/>
          <w:pgSz w:w="11907" w:h="16840"/>
          <w:pgMar w:top="1440" w:right="1080" w:bottom="1440" w:left="1080" w:header="851" w:footer="992" w:gutter="0"/>
          <w:cols w:space="720" w:num="1"/>
          <w:docGrid w:type="lines" w:linePitch="312" w:charSpace="0"/>
        </w:sectPr>
      </w:pPr>
    </w:p>
    <w:bookmarkEnd w:id="93"/>
    <w:p>
      <w:pPr>
        <w:widowControl/>
        <w:jc w:val="center"/>
        <w:rPr>
          <w:rFonts w:hAnsi="宋体" w:cs="宋体"/>
        </w:rPr>
      </w:pPr>
      <w:bookmarkStart w:id="94" w:name="_Toc123786888"/>
      <w:bookmarkStart w:id="95" w:name="_Toc315963014"/>
      <w:r>
        <w:rPr>
          <w:rFonts w:hint="eastAsia" w:hAnsi="宋体" w:cs="宋体"/>
        </w:rPr>
        <w:t>三、投标报价表</w:t>
      </w:r>
    </w:p>
    <w:p>
      <w:pPr>
        <w:adjustRightInd w:val="0"/>
        <w:snapToGrid w:val="0"/>
        <w:spacing w:line="360" w:lineRule="auto"/>
        <w:rPr>
          <w:rFonts w:ascii="仿宋_GB2312" w:hAnsi="宋体" w:eastAsia="仿宋_GB2312"/>
          <w:sz w:val="28"/>
          <w:szCs w:val="28"/>
        </w:rPr>
      </w:pPr>
    </w:p>
    <w:p>
      <w:pPr>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投标人名称：  招标编号：</w:t>
      </w:r>
    </w:p>
    <w:p>
      <w:pPr>
        <w:adjustRightInd w:val="0"/>
        <w:snapToGrid w:val="0"/>
        <w:spacing w:line="360" w:lineRule="auto"/>
        <w:rPr>
          <w:rFonts w:ascii="仿宋_GB2312" w:hAnsi="宋体" w:eastAsia="仿宋_GB2312"/>
          <w:sz w:val="24"/>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adjustRightInd w:val="0"/>
              <w:snapToGrid w:val="0"/>
              <w:spacing w:line="360" w:lineRule="auto"/>
              <w:jc w:val="center"/>
              <w:rPr>
                <w:rFonts w:ascii="仿宋_GB2312" w:hAnsi="宋体" w:eastAsia="仿宋_GB2312"/>
              </w:rPr>
            </w:pPr>
            <w:r>
              <w:rPr>
                <w:rFonts w:hint="eastAsia" w:ascii="仿宋_GB2312" w:hAnsi="宋体" w:eastAsia="仿宋_GB2312"/>
              </w:rPr>
              <w:t>项目名称</w:t>
            </w:r>
          </w:p>
        </w:tc>
        <w:tc>
          <w:tcPr>
            <w:tcW w:w="6840" w:type="dxa"/>
            <w:vAlign w:val="center"/>
          </w:tcPr>
          <w:p>
            <w:pPr>
              <w:snapToGrid w:val="0"/>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hAnsi="宋体" w:eastAsia="仿宋_GB2312"/>
              </w:rPr>
              <w:t>投标总价</w:t>
            </w:r>
          </w:p>
        </w:tc>
        <w:tc>
          <w:tcPr>
            <w:tcW w:w="6840" w:type="dxa"/>
            <w:vAlign w:val="center"/>
          </w:tcPr>
          <w:p>
            <w:pPr>
              <w:snapToGrid w:val="0"/>
              <w:spacing w:line="360" w:lineRule="auto"/>
              <w:rPr>
                <w:rFonts w:ascii="仿宋_GB2312" w:eastAsia="仿宋_GB2312"/>
                <w:u w:val="single"/>
              </w:rPr>
            </w:pPr>
            <w:r>
              <w:rPr>
                <w:rFonts w:hint="eastAsia" w:ascii="仿宋_GB2312" w:eastAsia="仿宋_GB2312"/>
              </w:rPr>
              <w:t>（大写）人民币</w:t>
            </w:r>
          </w:p>
          <w:p>
            <w:pPr>
              <w:adjustRightInd w:val="0"/>
              <w:snapToGrid w:val="0"/>
              <w:spacing w:line="360" w:lineRule="auto"/>
              <w:rPr>
                <w:rFonts w:ascii="仿宋_GB2312" w:eastAsia="仿宋_GB2312"/>
              </w:rPr>
            </w:pPr>
          </w:p>
          <w:p>
            <w:pPr>
              <w:adjustRightInd w:val="0"/>
              <w:snapToGrid w:val="0"/>
              <w:spacing w:line="360" w:lineRule="auto"/>
              <w:rPr>
                <w:rFonts w:ascii="仿宋_GB2312" w:hAnsi="宋体" w:eastAsia="仿宋_GB2312"/>
                <w:u w:val="single"/>
              </w:rPr>
            </w:pPr>
            <w:r>
              <w:rPr>
                <w:rFonts w:hint="eastAsia" w:ascii="仿宋_GB2312" w:eastAsia="仿宋_GB231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snapToGrid w:val="0"/>
              <w:spacing w:line="360" w:lineRule="auto"/>
              <w:jc w:val="center"/>
              <w:rPr>
                <w:rFonts w:ascii="仿宋_GB2312" w:eastAsia="仿宋_GB2312"/>
              </w:rPr>
            </w:pPr>
            <w:r>
              <w:rPr>
                <w:rFonts w:hint="eastAsia" w:ascii="仿宋_GB2312" w:hAnsi="宋体" w:eastAsia="仿宋_GB2312"/>
              </w:rPr>
              <w:t>供货周期</w:t>
            </w:r>
          </w:p>
        </w:tc>
        <w:tc>
          <w:tcPr>
            <w:tcW w:w="6840" w:type="dxa"/>
            <w:vAlign w:val="center"/>
          </w:tcPr>
          <w:p>
            <w:pPr>
              <w:adjustRightInd w:val="0"/>
              <w:snapToGrid w:val="0"/>
              <w:spacing w:line="360" w:lineRule="auto"/>
              <w:rPr>
                <w:rFonts w:ascii="仿宋_GB2312" w:hAnsi="宋体"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eastAsia="仿宋_GB2312"/>
              </w:rPr>
              <w:t>备    注</w:t>
            </w:r>
          </w:p>
        </w:tc>
        <w:tc>
          <w:tcPr>
            <w:tcW w:w="6840" w:type="dxa"/>
          </w:tcPr>
          <w:p>
            <w:pPr>
              <w:adjustRightInd w:val="0"/>
              <w:snapToGrid w:val="0"/>
              <w:spacing w:line="360" w:lineRule="auto"/>
              <w:rPr>
                <w:rFonts w:ascii="仿宋_GB2312" w:hAnsi="宋体" w:eastAsia="仿宋_GB2312"/>
                <w:u w:val="single"/>
              </w:rPr>
            </w:pPr>
            <w:r>
              <w:rPr>
                <w:rFonts w:hint="eastAsia" w:ascii="仿宋_GB2312" w:hAnsi="宋体" w:eastAsia="仿宋_GB2312"/>
              </w:rPr>
              <w:t>如按比例报价，将“投标总价”改为适用格式即可</w:t>
            </w:r>
          </w:p>
        </w:tc>
      </w:tr>
    </w:tbl>
    <w:p>
      <w:pPr>
        <w:adjustRightInd w:val="0"/>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eastAsia="仿宋_GB2312"/>
          <w:sz w:val="28"/>
          <w:u w:val="single"/>
        </w:rPr>
      </w:pPr>
      <w:r>
        <w:rPr>
          <w:rFonts w:hint="eastAsia" w:ascii="仿宋_GB2312" w:eastAsia="仿宋_GB2312"/>
          <w:sz w:val="28"/>
        </w:rPr>
        <w:t>投标人代表签字：</w:t>
      </w:r>
    </w:p>
    <w:p>
      <w:pPr>
        <w:adjustRightInd w:val="0"/>
        <w:snapToGrid w:val="0"/>
        <w:spacing w:line="360" w:lineRule="auto"/>
        <w:rPr>
          <w:rFonts w:ascii="仿宋_GB2312" w:hAnsi="宋体" w:eastAsia="仿宋_GB2312"/>
          <w:sz w:val="28"/>
        </w:rPr>
      </w:pPr>
      <w:r>
        <w:rPr>
          <w:rFonts w:hint="eastAsia" w:ascii="仿宋_GB2312" w:hAnsi="宋体" w:eastAsia="仿宋_GB2312"/>
          <w:sz w:val="28"/>
        </w:rPr>
        <w:t xml:space="preserve">                          （盖公章）</w:t>
      </w:r>
    </w:p>
    <w:p>
      <w:pPr>
        <w:adjustRightInd w:val="0"/>
        <w:snapToGrid w:val="0"/>
        <w:spacing w:line="360" w:lineRule="auto"/>
        <w:rPr>
          <w:rFonts w:ascii="仿宋_GB2312" w:hAnsi="宋体" w:eastAsia="仿宋_GB2312"/>
          <w:sz w:val="28"/>
          <w:u w:val="single"/>
        </w:rPr>
      </w:pPr>
      <w:r>
        <w:rPr>
          <w:rFonts w:hint="eastAsia" w:ascii="仿宋_GB2312" w:hAnsi="宋体" w:eastAsia="仿宋_GB2312"/>
          <w:sz w:val="28"/>
        </w:rPr>
        <w:t>日期：年月日</w:t>
      </w: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bookmarkEnd w:id="94"/>
    <w:p>
      <w:pPr>
        <w:adjustRightInd w:val="0"/>
        <w:snapToGrid w:val="0"/>
        <w:spacing w:line="360" w:lineRule="auto"/>
        <w:rPr>
          <w:rFonts w:ascii="仿宋_GB2312" w:hAnsi="宋体" w:eastAsia="仿宋_GB2312"/>
          <w:sz w:val="24"/>
          <w:u w:val="single"/>
        </w:rPr>
      </w:pPr>
    </w:p>
    <w:p>
      <w:pPr>
        <w:pStyle w:val="5"/>
        <w:snapToGrid w:val="0"/>
        <w:spacing w:before="0" w:after="0" w:line="360" w:lineRule="auto"/>
        <w:ind w:firstLine="2891" w:firstLineChars="900"/>
        <w:rPr>
          <w:rFonts w:ascii="宋体" w:hAnsi="宋体" w:eastAsia="宋体" w:cs="宋体"/>
        </w:rPr>
      </w:pPr>
      <w:r>
        <w:rPr>
          <w:rFonts w:hint="eastAsia" w:ascii="宋体" w:hAnsi="宋体" w:eastAsia="宋体" w:cs="宋体"/>
        </w:rPr>
        <w:t>四、分项报价明细表</w:t>
      </w:r>
      <w:bookmarkEnd w:id="95"/>
    </w:p>
    <w:p>
      <w:pPr>
        <w:snapToGrid w:val="0"/>
        <w:spacing w:line="360" w:lineRule="auto"/>
        <w:jc w:val="left"/>
        <w:rPr>
          <w:rFonts w:hAnsi="宋体" w:cs="宋体"/>
          <w:sz w:val="24"/>
          <w:szCs w:val="24"/>
        </w:rPr>
      </w:pPr>
    </w:p>
    <w:p>
      <w:pPr>
        <w:adjustRightInd w:val="0"/>
        <w:snapToGrid w:val="0"/>
        <w:spacing w:line="360" w:lineRule="auto"/>
        <w:jc w:val="left"/>
        <w:rPr>
          <w:rFonts w:hAnsi="宋体" w:cs="宋体"/>
          <w:sz w:val="24"/>
          <w:szCs w:val="24"/>
        </w:rPr>
      </w:pPr>
      <w:r>
        <w:rPr>
          <w:rFonts w:hint="eastAsia" w:hAnsi="宋体" w:cs="宋体"/>
          <w:sz w:val="24"/>
          <w:szCs w:val="24"/>
        </w:rPr>
        <w:t>招标编号：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79"/>
        <w:gridCol w:w="1283"/>
        <w:gridCol w:w="983"/>
        <w:gridCol w:w="788"/>
        <w:gridCol w:w="789"/>
        <w:gridCol w:w="788"/>
        <w:gridCol w:w="138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885" w:type="dxa"/>
            <w:vAlign w:val="center"/>
          </w:tcPr>
          <w:p>
            <w:pPr>
              <w:snapToGrid w:val="0"/>
              <w:spacing w:line="360" w:lineRule="auto"/>
              <w:jc w:val="center"/>
              <w:rPr>
                <w:rFonts w:hAnsi="宋体" w:cs="宋体"/>
                <w:sz w:val="24"/>
                <w:szCs w:val="24"/>
              </w:rPr>
            </w:pPr>
            <w:r>
              <w:rPr>
                <w:rFonts w:hint="eastAsia" w:hAnsi="宋体" w:cs="宋体"/>
                <w:sz w:val="24"/>
                <w:szCs w:val="24"/>
              </w:rPr>
              <w:t>序号</w:t>
            </w:r>
          </w:p>
        </w:tc>
        <w:tc>
          <w:tcPr>
            <w:tcW w:w="1379" w:type="dxa"/>
            <w:vAlign w:val="center"/>
          </w:tcPr>
          <w:p>
            <w:pPr>
              <w:snapToGrid w:val="0"/>
              <w:spacing w:line="360" w:lineRule="auto"/>
              <w:jc w:val="center"/>
              <w:rPr>
                <w:rFonts w:hAnsi="宋体" w:cs="宋体"/>
                <w:sz w:val="24"/>
                <w:szCs w:val="24"/>
              </w:rPr>
            </w:pPr>
            <w:r>
              <w:rPr>
                <w:rFonts w:hint="eastAsia" w:hAnsi="宋体" w:cs="宋体"/>
                <w:sz w:val="24"/>
                <w:szCs w:val="24"/>
              </w:rPr>
              <w:t>产品名称</w:t>
            </w:r>
          </w:p>
        </w:tc>
        <w:tc>
          <w:tcPr>
            <w:tcW w:w="1283" w:type="dxa"/>
            <w:vAlign w:val="center"/>
          </w:tcPr>
          <w:p>
            <w:pPr>
              <w:snapToGrid w:val="0"/>
              <w:spacing w:line="360" w:lineRule="auto"/>
              <w:jc w:val="center"/>
              <w:rPr>
                <w:rFonts w:hAnsi="宋体" w:cs="宋体"/>
                <w:sz w:val="24"/>
                <w:szCs w:val="24"/>
              </w:rPr>
            </w:pPr>
            <w:r>
              <w:rPr>
                <w:rFonts w:hint="eastAsia" w:hAnsi="宋体" w:cs="宋体"/>
                <w:sz w:val="24"/>
                <w:szCs w:val="24"/>
              </w:rPr>
              <w:t>规格型号</w:t>
            </w:r>
          </w:p>
        </w:tc>
        <w:tc>
          <w:tcPr>
            <w:tcW w:w="983" w:type="dxa"/>
            <w:vAlign w:val="center"/>
          </w:tcPr>
          <w:p>
            <w:pPr>
              <w:snapToGrid w:val="0"/>
              <w:spacing w:line="360" w:lineRule="auto"/>
              <w:jc w:val="center"/>
              <w:rPr>
                <w:rFonts w:hAnsi="宋体" w:cs="宋体"/>
                <w:sz w:val="24"/>
                <w:szCs w:val="24"/>
              </w:rPr>
            </w:pPr>
            <w:r>
              <w:rPr>
                <w:rFonts w:hint="eastAsia" w:hAnsi="宋体" w:cs="宋体"/>
                <w:sz w:val="24"/>
                <w:szCs w:val="24"/>
              </w:rPr>
              <w:t>品牌</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单位</w:t>
            </w:r>
          </w:p>
        </w:tc>
        <w:tc>
          <w:tcPr>
            <w:tcW w:w="789" w:type="dxa"/>
            <w:vAlign w:val="center"/>
          </w:tcPr>
          <w:p>
            <w:pPr>
              <w:snapToGrid w:val="0"/>
              <w:spacing w:line="360" w:lineRule="auto"/>
              <w:jc w:val="center"/>
              <w:rPr>
                <w:rFonts w:hAnsi="宋体" w:cs="宋体"/>
                <w:sz w:val="24"/>
                <w:szCs w:val="24"/>
              </w:rPr>
            </w:pPr>
            <w:r>
              <w:rPr>
                <w:rFonts w:hint="eastAsia" w:hAnsi="宋体" w:cs="宋体"/>
                <w:sz w:val="24"/>
                <w:szCs w:val="24"/>
              </w:rPr>
              <w:t>数量</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单价</w:t>
            </w:r>
          </w:p>
        </w:tc>
        <w:tc>
          <w:tcPr>
            <w:tcW w:w="1381" w:type="dxa"/>
            <w:vAlign w:val="center"/>
          </w:tcPr>
          <w:p>
            <w:pPr>
              <w:snapToGrid w:val="0"/>
              <w:spacing w:line="360" w:lineRule="auto"/>
              <w:jc w:val="center"/>
              <w:rPr>
                <w:rFonts w:hAnsi="宋体" w:cs="宋体"/>
                <w:sz w:val="24"/>
                <w:szCs w:val="24"/>
              </w:rPr>
            </w:pPr>
            <w:r>
              <w:rPr>
                <w:rFonts w:hint="eastAsia" w:hAnsi="宋体" w:cs="宋体"/>
                <w:sz w:val="24"/>
                <w:szCs w:val="24"/>
              </w:rPr>
              <w:t>金额</w:t>
            </w:r>
          </w:p>
        </w:tc>
        <w:tc>
          <w:tcPr>
            <w:tcW w:w="899" w:type="dxa"/>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6010" w:type="dxa"/>
            <w:gridSpan w:val="6"/>
            <w:vAlign w:val="center"/>
          </w:tcPr>
          <w:p>
            <w:pPr>
              <w:snapToGrid w:val="0"/>
              <w:spacing w:line="360" w:lineRule="auto"/>
              <w:ind w:firstLine="600" w:firstLineChars="250"/>
              <w:jc w:val="left"/>
              <w:rPr>
                <w:rFonts w:hAnsi="宋体" w:cs="宋体"/>
                <w:sz w:val="24"/>
                <w:szCs w:val="24"/>
              </w:rPr>
            </w:pPr>
            <w:r>
              <w:rPr>
                <w:rFonts w:hint="eastAsia" w:hAnsi="宋体" w:cs="宋体"/>
                <w:sz w:val="24"/>
                <w:szCs w:val="24"/>
              </w:rPr>
              <w:t>分项报价合计（万元）</w:t>
            </w: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1、投标人必须按“分项报价明细表”的格式详细报出投标总价的各个组成部分的报价并具体填写品牌、规格、型号等，否则作无效投标处理。如产品为国家节能、环保标志清单产品也请在备注栏注明。</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2、“分项报价明细表”各分项报价合计应当与“投标报价表”报价合计相等。</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adjustRightInd w:val="0"/>
        <w:snapToGrid w:val="0"/>
        <w:spacing w:line="360" w:lineRule="auto"/>
        <w:jc w:val="left"/>
        <w:rPr>
          <w:rFonts w:hAnsi="宋体" w:cs="宋体"/>
          <w:bCs/>
          <w:spacing w:val="8"/>
          <w:sz w:val="24"/>
          <w:szCs w:val="24"/>
        </w:rPr>
      </w:pPr>
    </w:p>
    <w:p>
      <w:pPr>
        <w:adjustRightInd w:val="0"/>
        <w:snapToGrid w:val="0"/>
        <w:spacing w:line="360" w:lineRule="auto"/>
        <w:ind w:firstLine="480" w:firstLineChars="200"/>
        <w:jc w:val="left"/>
        <w:rPr>
          <w:rFonts w:hAnsi="宋体" w:cs="宋体"/>
          <w:sz w:val="24"/>
          <w:szCs w:val="24"/>
        </w:rPr>
        <w:sectPr>
          <w:footerReference r:id="rId7" w:type="default"/>
          <w:type w:val="nextColumn"/>
          <w:pgSz w:w="11907" w:h="16840"/>
          <w:pgMar w:top="1440" w:right="1474" w:bottom="1440" w:left="1474" w:header="851" w:footer="992" w:gutter="0"/>
          <w:cols w:space="720" w:num="1"/>
          <w:docGrid w:type="lines" w:linePitch="312" w:charSpace="0"/>
        </w:sectPr>
      </w:pPr>
    </w:p>
    <w:p>
      <w:pPr>
        <w:pStyle w:val="5"/>
        <w:snapToGrid w:val="0"/>
        <w:spacing w:before="0" w:after="0" w:line="360" w:lineRule="auto"/>
        <w:jc w:val="center"/>
        <w:rPr>
          <w:rFonts w:ascii="宋体" w:hAnsi="宋体" w:eastAsia="宋体" w:cs="宋体"/>
        </w:rPr>
      </w:pPr>
      <w:bookmarkStart w:id="96" w:name="_Toc217446087"/>
    </w:p>
    <w:p>
      <w:pPr>
        <w:pStyle w:val="5"/>
        <w:snapToGrid w:val="0"/>
        <w:spacing w:before="0" w:after="0" w:line="360" w:lineRule="auto"/>
        <w:jc w:val="center"/>
        <w:rPr>
          <w:rFonts w:ascii="宋体" w:hAnsi="宋体" w:eastAsia="宋体" w:cs="宋体"/>
        </w:rPr>
      </w:pPr>
      <w:r>
        <w:rPr>
          <w:rFonts w:hint="eastAsia" w:ascii="宋体" w:hAnsi="宋体" w:eastAsia="宋体" w:cs="宋体"/>
        </w:rPr>
        <w:t>五、商务应答表</w:t>
      </w:r>
      <w:bookmarkEnd w:id="96"/>
    </w:p>
    <w:p>
      <w:pPr>
        <w:pStyle w:val="14"/>
        <w:pBdr>
          <w:bottom w:val="none" w:color="auto" w:sz="0" w:space="0"/>
        </w:pBdr>
        <w:spacing w:line="360" w:lineRule="auto"/>
        <w:jc w:val="left"/>
        <w:rPr>
          <w:rFonts w:hAnsi="宋体" w:cs="宋体"/>
          <w:sz w:val="24"/>
          <w:szCs w:val="24"/>
        </w:rPr>
      </w:pPr>
      <w:r>
        <w:rPr>
          <w:rFonts w:hint="eastAsia" w:hAnsi="宋体" w:cs="宋体"/>
          <w:sz w:val="24"/>
          <w:szCs w:val="24"/>
        </w:rPr>
        <w:t>招标编号：</w:t>
      </w:r>
    </w:p>
    <w:tbl>
      <w:tblPr>
        <w:tblStyle w:val="20"/>
        <w:tblpPr w:leftFromText="180" w:rightFromText="180" w:vertAnchor="text" w:horzAnchor="page" w:tblpX="967" w:tblpY="6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077"/>
        <w:gridCol w:w="3078"/>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8" w:type="dxa"/>
            <w:vAlign w:val="center"/>
          </w:tcPr>
          <w:p>
            <w:pPr>
              <w:snapToGrid w:val="0"/>
              <w:spacing w:line="360" w:lineRule="auto"/>
              <w:jc w:val="left"/>
              <w:rPr>
                <w:rFonts w:hAnsi="宋体" w:cs="宋体"/>
                <w:sz w:val="24"/>
                <w:szCs w:val="24"/>
              </w:rPr>
            </w:pPr>
            <w:r>
              <w:rPr>
                <w:rFonts w:hint="eastAsia" w:hAnsi="宋体" w:cs="宋体"/>
                <w:sz w:val="24"/>
                <w:szCs w:val="24"/>
              </w:rPr>
              <w:t>序号</w:t>
            </w:r>
          </w:p>
        </w:tc>
        <w:tc>
          <w:tcPr>
            <w:tcW w:w="3077" w:type="dxa"/>
            <w:vAlign w:val="center"/>
          </w:tcPr>
          <w:p>
            <w:pPr>
              <w:snapToGrid w:val="0"/>
              <w:spacing w:line="360" w:lineRule="auto"/>
              <w:jc w:val="center"/>
              <w:rPr>
                <w:rFonts w:hAnsi="宋体" w:cs="宋体"/>
                <w:sz w:val="24"/>
                <w:szCs w:val="24"/>
              </w:rPr>
            </w:pPr>
            <w:r>
              <w:rPr>
                <w:rFonts w:hint="eastAsia" w:hAnsi="宋体" w:cs="宋体"/>
                <w:sz w:val="24"/>
                <w:szCs w:val="24"/>
              </w:rPr>
              <w:t>招标文件要求</w:t>
            </w:r>
          </w:p>
        </w:tc>
        <w:tc>
          <w:tcPr>
            <w:tcW w:w="3078" w:type="dxa"/>
            <w:vAlign w:val="center"/>
          </w:tcPr>
          <w:p>
            <w:pPr>
              <w:snapToGrid w:val="0"/>
              <w:spacing w:line="360" w:lineRule="auto"/>
              <w:jc w:val="center"/>
              <w:rPr>
                <w:rFonts w:hAnsi="宋体" w:cs="宋体"/>
                <w:sz w:val="24"/>
                <w:szCs w:val="24"/>
              </w:rPr>
            </w:pPr>
            <w:r>
              <w:rPr>
                <w:rFonts w:hint="eastAsia" w:hAnsi="宋体" w:cs="宋体"/>
                <w:sz w:val="24"/>
                <w:szCs w:val="24"/>
              </w:rPr>
              <w:t>投标文件应答</w:t>
            </w:r>
          </w:p>
        </w:tc>
        <w:tc>
          <w:tcPr>
            <w:tcW w:w="3079" w:type="dxa"/>
            <w:vAlign w:val="center"/>
          </w:tcPr>
          <w:p>
            <w:pPr>
              <w:snapToGrid w:val="0"/>
              <w:spacing w:line="360" w:lineRule="auto"/>
              <w:jc w:val="center"/>
              <w:rPr>
                <w:rFonts w:hAnsi="宋体" w:cs="宋体"/>
                <w:sz w:val="24"/>
                <w:szCs w:val="24"/>
              </w:rPr>
            </w:pPr>
            <w:r>
              <w:rPr>
                <w:rFonts w:hint="eastAsia" w:hAnsi="宋体" w:cs="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ind w:left="317" w:hanging="316" w:hangingChars="132"/>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供应商必须据实填写，不得虚假应答，否则将取消其投标或中标资格。</w:t>
      </w: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六、投标人近三年类似项目业绩一览表</w:t>
      </w:r>
    </w:p>
    <w:p>
      <w:pPr>
        <w:snapToGrid w:val="0"/>
        <w:spacing w:line="360" w:lineRule="auto"/>
        <w:jc w:val="left"/>
        <w:rPr>
          <w:rFonts w:hAnsi="宋体" w:cs="宋体"/>
          <w:sz w:val="24"/>
          <w:szCs w:val="24"/>
        </w:rPr>
      </w:pPr>
      <w:r>
        <w:rPr>
          <w:rFonts w:hint="eastAsia" w:hAnsi="宋体" w:cs="宋体"/>
          <w:sz w:val="24"/>
          <w:szCs w:val="24"/>
        </w:rPr>
        <w:t xml:space="preserve">   招标编号：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37"/>
        <w:gridCol w:w="1792"/>
        <w:gridCol w:w="2505"/>
        <w:gridCol w:w="1461"/>
        <w:gridCol w:w="1478"/>
        <w:gridCol w:w="10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top w:val="single" w:color="auto" w:sz="4" w:space="0"/>
            </w:tcBorders>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年份</w:t>
            </w:r>
          </w:p>
        </w:tc>
        <w:tc>
          <w:tcPr>
            <w:tcW w:w="1792" w:type="dxa"/>
            <w:vAlign w:val="center"/>
          </w:tcPr>
          <w:p>
            <w:pPr>
              <w:snapToGrid w:val="0"/>
              <w:spacing w:line="360" w:lineRule="auto"/>
              <w:jc w:val="center"/>
              <w:rPr>
                <w:rFonts w:hAnsi="宋体" w:cs="宋体"/>
                <w:bCs/>
                <w:sz w:val="24"/>
                <w:szCs w:val="24"/>
              </w:rPr>
            </w:pPr>
            <w:r>
              <w:rPr>
                <w:rFonts w:hint="eastAsia" w:hAnsi="宋体" w:cs="宋体"/>
                <w:bCs/>
                <w:sz w:val="24"/>
                <w:szCs w:val="24"/>
              </w:rPr>
              <w:t>用户名称</w:t>
            </w:r>
          </w:p>
        </w:tc>
        <w:tc>
          <w:tcPr>
            <w:tcW w:w="2505" w:type="dxa"/>
            <w:vAlign w:val="center"/>
          </w:tcPr>
          <w:p>
            <w:pPr>
              <w:snapToGrid w:val="0"/>
              <w:spacing w:line="360" w:lineRule="auto"/>
              <w:jc w:val="center"/>
              <w:rPr>
                <w:rFonts w:hAnsi="宋体" w:cs="宋体"/>
                <w:bCs/>
                <w:sz w:val="24"/>
                <w:szCs w:val="24"/>
              </w:rPr>
            </w:pPr>
            <w:r>
              <w:rPr>
                <w:rFonts w:hint="eastAsia" w:hAnsi="宋体" w:cs="宋体"/>
                <w:bCs/>
                <w:sz w:val="24"/>
                <w:szCs w:val="24"/>
              </w:rPr>
              <w:t>项目名称</w:t>
            </w:r>
          </w:p>
        </w:tc>
        <w:tc>
          <w:tcPr>
            <w:tcW w:w="1461" w:type="dxa"/>
            <w:vAlign w:val="center"/>
          </w:tcPr>
          <w:p>
            <w:pPr>
              <w:snapToGrid w:val="0"/>
              <w:spacing w:line="360" w:lineRule="auto"/>
              <w:jc w:val="center"/>
              <w:rPr>
                <w:rFonts w:hAnsi="宋体" w:cs="宋体"/>
                <w:bCs/>
                <w:sz w:val="24"/>
                <w:szCs w:val="24"/>
              </w:rPr>
            </w:pPr>
            <w:r>
              <w:rPr>
                <w:rFonts w:hint="eastAsia" w:hAnsi="宋体" w:cs="宋体"/>
                <w:bCs/>
                <w:sz w:val="24"/>
                <w:szCs w:val="24"/>
              </w:rPr>
              <w:t>完成时间</w:t>
            </w:r>
          </w:p>
        </w:tc>
        <w:tc>
          <w:tcPr>
            <w:tcW w:w="1478" w:type="dxa"/>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合同金额</w:t>
            </w:r>
          </w:p>
        </w:tc>
        <w:tc>
          <w:tcPr>
            <w:tcW w:w="1081" w:type="dxa"/>
            <w:tcBorders>
              <w:left w:val="single" w:color="auto" w:sz="4" w:space="0"/>
            </w:tcBorders>
            <w:vAlign w:val="center"/>
          </w:tcPr>
          <w:p>
            <w:pPr>
              <w:snapToGrid w:val="0"/>
              <w:spacing w:line="360" w:lineRule="auto"/>
              <w:jc w:val="center"/>
              <w:rPr>
                <w:rFonts w:hAnsi="宋体" w:cs="宋体"/>
                <w:bCs/>
                <w:sz w:val="24"/>
                <w:szCs w:val="24"/>
              </w:rPr>
            </w:pPr>
            <w:r>
              <w:rPr>
                <w:rFonts w:hint="eastAsia"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tcBorders>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tcBorders>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right w:val="single" w:color="auto" w:sz="4" w:space="0"/>
            </w:tcBorders>
            <w:vAlign w:val="center"/>
          </w:tcPr>
          <w:p>
            <w:pPr>
              <w:snapToGrid w:val="0"/>
              <w:spacing w:line="360" w:lineRule="auto"/>
              <w:jc w:val="left"/>
              <w:rPr>
                <w:rFonts w:hAnsi="宋体" w:cs="宋体"/>
                <w:sz w:val="24"/>
                <w:szCs w:val="24"/>
              </w:rPr>
            </w:pPr>
          </w:p>
        </w:tc>
        <w:tc>
          <w:tcPr>
            <w:tcW w:w="1792"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61"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78"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bottom w:val="single" w:color="auto" w:sz="4" w:space="0"/>
            </w:tcBorders>
            <w:vAlign w:val="center"/>
          </w:tcPr>
          <w:p>
            <w:pPr>
              <w:snapToGrid w:val="0"/>
              <w:spacing w:line="360" w:lineRule="auto"/>
              <w:jc w:val="left"/>
              <w:rPr>
                <w:rFonts w:hAnsi="宋体" w:cs="宋体"/>
                <w:sz w:val="24"/>
                <w:szCs w:val="24"/>
              </w:rPr>
            </w:pPr>
          </w:p>
        </w:tc>
        <w:tc>
          <w:tcPr>
            <w:tcW w:w="1792" w:type="dxa"/>
            <w:tcBorders>
              <w:bottom w:val="single" w:color="auto" w:sz="4" w:space="0"/>
            </w:tcBorders>
            <w:vAlign w:val="center"/>
          </w:tcPr>
          <w:p>
            <w:pPr>
              <w:snapToGrid w:val="0"/>
              <w:spacing w:line="360" w:lineRule="auto"/>
              <w:jc w:val="left"/>
              <w:rPr>
                <w:rFonts w:hAnsi="宋体" w:cs="宋体"/>
                <w:sz w:val="24"/>
                <w:szCs w:val="24"/>
              </w:rPr>
            </w:pPr>
          </w:p>
        </w:tc>
        <w:tc>
          <w:tcPr>
            <w:tcW w:w="2505" w:type="dxa"/>
            <w:tcBorders>
              <w:bottom w:val="single" w:color="auto" w:sz="4" w:space="0"/>
            </w:tcBorders>
            <w:vAlign w:val="center"/>
          </w:tcPr>
          <w:p>
            <w:pPr>
              <w:snapToGrid w:val="0"/>
              <w:spacing w:line="360" w:lineRule="auto"/>
              <w:jc w:val="left"/>
              <w:rPr>
                <w:rFonts w:hAnsi="宋体" w:cs="宋体"/>
                <w:sz w:val="24"/>
                <w:szCs w:val="24"/>
              </w:rPr>
            </w:pPr>
          </w:p>
        </w:tc>
        <w:tc>
          <w:tcPr>
            <w:tcW w:w="1461" w:type="dxa"/>
            <w:tcBorders>
              <w:bottom w:val="single" w:color="auto" w:sz="4" w:space="0"/>
            </w:tcBorders>
            <w:vAlign w:val="center"/>
          </w:tcPr>
          <w:p>
            <w:pPr>
              <w:snapToGrid w:val="0"/>
              <w:spacing w:line="360" w:lineRule="auto"/>
              <w:jc w:val="left"/>
              <w:rPr>
                <w:rFonts w:hAnsi="宋体" w:cs="宋体"/>
                <w:sz w:val="24"/>
                <w:szCs w:val="24"/>
              </w:rPr>
            </w:pPr>
          </w:p>
        </w:tc>
        <w:tc>
          <w:tcPr>
            <w:tcW w:w="1478" w:type="dxa"/>
            <w:tcBorders>
              <w:bottom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bottom w:val="single" w:color="auto" w:sz="4" w:space="0"/>
            </w:tcBorders>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投标人以上业绩需提供有关书面证明材料（中标通知/合同复印件，原件备查，规格型号、数量、价格等具体内容不能遮盖，否则投标无效）。如要求描述“完成项目质量”，则需提供合同验收合格或用户单位书面证明，表不够可另附。</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pStyle w:val="2"/>
        <w:ind w:left="680" w:firstLine="680"/>
      </w:pPr>
      <w:r>
        <w:br w:type="page"/>
      </w:r>
    </w:p>
    <w:p>
      <w:pPr>
        <w:spacing w:line="440" w:lineRule="exact"/>
        <w:ind w:firstLine="3315" w:firstLineChars="975"/>
        <w:rPr>
          <w:rFonts w:hAnsi="宋体" w:cs="宋体"/>
        </w:rPr>
      </w:pPr>
    </w:p>
    <w:p>
      <w:pPr>
        <w:spacing w:line="440" w:lineRule="exact"/>
        <w:ind w:firstLine="3315" w:firstLineChars="975"/>
        <w:rPr>
          <w:rFonts w:hAnsi="宋体" w:cs="宋体"/>
        </w:rPr>
      </w:pPr>
      <w:r>
        <w:rPr>
          <w:rFonts w:hint="eastAsia" w:hAnsi="宋体" w:cs="宋体"/>
        </w:rPr>
        <w:t>七、承诺函</w:t>
      </w:r>
    </w:p>
    <w:p>
      <w:pPr>
        <w:rPr>
          <w:rFonts w:hAnsi="宋体"/>
          <w:sz w:val="24"/>
        </w:rPr>
      </w:pPr>
      <w:r>
        <w:rPr>
          <w:rFonts w:hint="eastAsia" w:hAnsi="宋体"/>
          <w:sz w:val="24"/>
        </w:rPr>
        <w:t>四川铁道职业学院：</w:t>
      </w:r>
    </w:p>
    <w:p>
      <w:pPr>
        <w:ind w:firstLine="480" w:firstLineChars="200"/>
        <w:rPr>
          <w:rFonts w:hAnsi="宋体"/>
          <w:sz w:val="24"/>
        </w:rPr>
      </w:pPr>
      <w:r>
        <w:rPr>
          <w:rFonts w:hint="eastAsia" w:hAnsi="宋体"/>
          <w:sz w:val="24"/>
        </w:rPr>
        <w:t>我公司作为本次采购项目的供应商，根据招标文件要求，现郑重承诺如下：</w:t>
      </w:r>
    </w:p>
    <w:p>
      <w:pPr>
        <w:pStyle w:val="3"/>
        <w:rPr>
          <w:rFonts w:ascii="宋体" w:hAnsi="宋体"/>
          <w:sz w:val="24"/>
          <w:szCs w:val="22"/>
        </w:rPr>
      </w:pPr>
      <w:r>
        <w:rPr>
          <w:rFonts w:hint="eastAsia" w:ascii="宋体" w:hAnsi="宋体"/>
          <w:sz w:val="24"/>
          <w:szCs w:val="22"/>
        </w:rPr>
        <w:t>（一）我公司</w:t>
      </w:r>
      <w:r>
        <w:rPr>
          <w:rFonts w:hint="eastAsia" w:hAnsi="宋体" w:cs="宋体"/>
          <w:sz w:val="24"/>
        </w:rPr>
        <w:t>严格遵守《食品安全法》和学校的有关规定，确保经销食品质量；</w:t>
      </w:r>
    </w:p>
    <w:p>
      <w:pPr>
        <w:spacing w:line="440" w:lineRule="exact"/>
        <w:rPr>
          <w:rFonts w:hAnsi="宋体" w:cs="宋体"/>
          <w:sz w:val="24"/>
        </w:rPr>
      </w:pPr>
      <w:r>
        <w:rPr>
          <w:rFonts w:hint="eastAsia" w:hAnsi="宋体" w:cs="宋体"/>
          <w:sz w:val="24"/>
        </w:rPr>
        <w:t>（二）我公司积极配合接受上级卫生监督部门、学校后勤管理部门对食品卫生、合作范围等方面的检查、监督；</w:t>
      </w:r>
    </w:p>
    <w:p>
      <w:pPr>
        <w:spacing w:line="440" w:lineRule="exact"/>
        <w:rPr>
          <w:rFonts w:hAnsi="宋体" w:cs="宋体"/>
          <w:sz w:val="24"/>
        </w:rPr>
      </w:pPr>
      <w:r>
        <w:rPr>
          <w:rFonts w:hint="eastAsia" w:hAnsi="宋体" w:cs="宋体"/>
          <w:sz w:val="24"/>
        </w:rPr>
        <w:t>（三）合作期间的税金、工商管理、卫生、防疫、宣传等费用由我公司承担，并同时承担与之有关的一切法律责任；</w:t>
      </w:r>
    </w:p>
    <w:p>
      <w:pPr>
        <w:spacing w:line="440" w:lineRule="exact"/>
        <w:rPr>
          <w:rFonts w:hAnsi="宋体" w:cs="宋体"/>
          <w:sz w:val="24"/>
        </w:rPr>
      </w:pPr>
      <w:r>
        <w:rPr>
          <w:rFonts w:hint="eastAsia" w:hAnsi="宋体" w:cs="宋体"/>
          <w:sz w:val="24"/>
        </w:rPr>
        <w:t>（四）我公司不得擅自改变合作场所的房屋结构，不得私接水电。擅自改变的，中标供应商负责恢复原状，并承担由此造成的一切损失；</w:t>
      </w:r>
    </w:p>
    <w:p>
      <w:pPr>
        <w:spacing w:line="440" w:lineRule="exact"/>
        <w:rPr>
          <w:rFonts w:hAnsi="宋体" w:cs="宋体"/>
          <w:sz w:val="24"/>
        </w:rPr>
      </w:pPr>
      <w:r>
        <w:rPr>
          <w:rFonts w:hint="eastAsia" w:hAnsi="宋体" w:cs="宋体"/>
          <w:sz w:val="24"/>
        </w:rPr>
        <w:t>（五）我公司作好安全、卫生（门前实行三包）、防火、防盗、防水及维持秩序等工作。由此引发事故造成损失的由合作单位负完全赔偿责任；</w:t>
      </w:r>
    </w:p>
    <w:p>
      <w:pPr>
        <w:spacing w:line="440" w:lineRule="exact"/>
        <w:rPr>
          <w:rFonts w:hAnsi="宋体" w:cs="宋体"/>
          <w:sz w:val="24"/>
        </w:rPr>
      </w:pPr>
      <w:r>
        <w:rPr>
          <w:rFonts w:hint="eastAsia" w:hAnsi="宋体" w:cs="宋体"/>
          <w:sz w:val="24"/>
        </w:rPr>
        <w:t>（六）我公司不得对该项目进行转让、转包、转租、分包、分租，否则采购人有权单方解除合同，不承担任何责任；</w:t>
      </w:r>
    </w:p>
    <w:p>
      <w:pPr>
        <w:spacing w:line="440" w:lineRule="exact"/>
        <w:rPr>
          <w:rFonts w:hAnsi="宋体" w:cs="宋体"/>
          <w:sz w:val="24"/>
        </w:rPr>
      </w:pPr>
      <w:r>
        <w:rPr>
          <w:rFonts w:hint="eastAsia" w:hAnsi="宋体" w:cs="宋体"/>
          <w:sz w:val="24"/>
        </w:rPr>
        <w:t>（七）我公司工作人员需符合国家有关超市从业人员上岗的相关规定，所发生的任何问题均由合作企业负责处理；</w:t>
      </w:r>
    </w:p>
    <w:p>
      <w:pPr>
        <w:spacing w:line="440" w:lineRule="exact"/>
        <w:rPr>
          <w:rFonts w:hAnsi="宋体" w:cs="宋体"/>
          <w:sz w:val="24"/>
        </w:rPr>
      </w:pPr>
      <w:r>
        <w:rPr>
          <w:rFonts w:hint="eastAsia" w:hAnsi="宋体" w:cs="宋体"/>
          <w:sz w:val="24"/>
        </w:rPr>
        <w:t>（八）我公司保证所售产品的质量是符合国家或行业相关标准的，承担其因产品质量的引发的全部法律责任和经济责任。</w:t>
      </w:r>
    </w:p>
    <w:p>
      <w:pPr>
        <w:ind w:firstLine="480" w:firstLineChars="200"/>
        <w:rPr>
          <w:rFonts w:hAnsi="宋体"/>
          <w:sz w:val="24"/>
        </w:rPr>
      </w:pPr>
    </w:p>
    <w:p>
      <w:pPr>
        <w:ind w:firstLine="480" w:firstLineChars="200"/>
        <w:rPr>
          <w:rFonts w:hAnsi="宋体"/>
          <w:sz w:val="24"/>
        </w:rPr>
      </w:pPr>
      <w:r>
        <w:rPr>
          <w:rFonts w:hint="eastAsia" w:hAnsi="宋体"/>
          <w:sz w:val="24"/>
        </w:rPr>
        <w:t>本公司对上述承诺的内容事项真实性负责。如经查实上述承诺的内容事项存在虚假，我公司愿意接受以提供虚假材料谋取成交的法律责任。</w:t>
      </w:r>
    </w:p>
    <w:p>
      <w:pPr>
        <w:rPr>
          <w:rFonts w:hAnsi="宋体"/>
          <w:sz w:val="24"/>
        </w:rPr>
      </w:pPr>
    </w:p>
    <w:p>
      <w:pPr>
        <w:rPr>
          <w:rFonts w:hAnsi="宋体"/>
          <w:sz w:val="24"/>
        </w:rPr>
      </w:pPr>
    </w:p>
    <w:p>
      <w:pPr>
        <w:adjustRightInd w:val="0"/>
        <w:spacing w:line="400" w:lineRule="exact"/>
        <w:jc w:val="left"/>
        <w:rPr>
          <w:rFonts w:hAnsi="宋体"/>
          <w:sz w:val="24"/>
        </w:rPr>
      </w:pPr>
      <w:r>
        <w:rPr>
          <w:rFonts w:hint="eastAsia" w:hAnsi="宋体"/>
          <w:sz w:val="24"/>
        </w:rPr>
        <w:t>供应商名称：XXX（盖单位公章）</w:t>
      </w:r>
    </w:p>
    <w:p>
      <w:pPr>
        <w:adjustRightInd w:val="0"/>
        <w:spacing w:line="400" w:lineRule="exact"/>
        <w:jc w:val="left"/>
        <w:rPr>
          <w:rFonts w:hAnsi="宋体"/>
          <w:bCs/>
          <w:sz w:val="24"/>
        </w:rPr>
      </w:pPr>
      <w:r>
        <w:rPr>
          <w:rFonts w:hint="eastAsia" w:hAnsi="宋体"/>
          <w:bCs/>
          <w:sz w:val="24"/>
        </w:rPr>
        <w:t>法定代表人或授权代表（签字或盖章）：XXX</w:t>
      </w:r>
    </w:p>
    <w:p>
      <w:pPr>
        <w:adjustRightInd w:val="0"/>
        <w:spacing w:line="400" w:lineRule="exact"/>
        <w:jc w:val="left"/>
        <w:rPr>
          <w:rFonts w:hAnsi="宋体"/>
          <w:bCs/>
          <w:sz w:val="24"/>
        </w:rPr>
      </w:pPr>
      <w:r>
        <w:rPr>
          <w:rFonts w:hint="eastAsia" w:hAnsi="宋体"/>
          <w:bCs/>
          <w:sz w:val="24"/>
        </w:rPr>
        <w:t>日  期：XXX年XXX月XXX日</w:t>
      </w:r>
    </w:p>
    <w:p>
      <w:pPr>
        <w:pStyle w:val="2"/>
        <w:ind w:left="680" w:firstLine="680"/>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pStyle w:val="2"/>
        <w:ind w:left="680" w:firstLine="680"/>
        <w:sectPr>
          <w:pgSz w:w="11906" w:h="16838"/>
          <w:pgMar w:top="1083" w:right="1440" w:bottom="1083" w:left="1440" w:header="851" w:footer="992" w:gutter="0"/>
          <w:cols w:space="720" w:num="1"/>
          <w:docGrid w:type="lines" w:linePitch="473" w:charSpace="0"/>
        </w:sectPr>
      </w:pPr>
    </w:p>
    <w:bookmarkEnd w:id="41"/>
    <w:bookmarkEnd w:id="42"/>
    <w:p>
      <w:pPr>
        <w:pStyle w:val="4"/>
        <w:snapToGrid w:val="0"/>
        <w:spacing w:before="0" w:after="283" w:afterLines="60" w:line="360" w:lineRule="auto"/>
        <w:jc w:val="center"/>
        <w:rPr>
          <w:rFonts w:hAnsi="宋体"/>
          <w:sz w:val="32"/>
          <w:szCs w:val="32"/>
        </w:rPr>
      </w:pPr>
    </w:p>
    <w:p>
      <w:pPr>
        <w:pStyle w:val="4"/>
        <w:snapToGrid w:val="0"/>
        <w:spacing w:before="0" w:after="283" w:afterLines="60" w:line="360" w:lineRule="auto"/>
        <w:jc w:val="center"/>
        <w:rPr>
          <w:rFonts w:hAnsi="宋体"/>
          <w:sz w:val="32"/>
          <w:szCs w:val="32"/>
        </w:rPr>
      </w:pPr>
      <w:r>
        <w:rPr>
          <w:rFonts w:hint="eastAsia" w:hAnsi="宋体"/>
          <w:sz w:val="32"/>
          <w:szCs w:val="32"/>
        </w:rPr>
        <w:t>第四章  招标项目技术、商务及其他要求</w:t>
      </w:r>
    </w:p>
    <w:p>
      <w:pPr>
        <w:adjustRightInd w:val="0"/>
        <w:snapToGrid w:val="0"/>
        <w:spacing w:line="440" w:lineRule="exact"/>
        <w:ind w:firstLine="562" w:firstLineChars="200"/>
        <w:rPr>
          <w:rFonts w:hAnsi="宋体" w:cs="宋体"/>
          <w:sz w:val="28"/>
          <w:szCs w:val="28"/>
        </w:rPr>
      </w:pPr>
      <w:bookmarkStart w:id="97" w:name="_Toc515612310"/>
      <w:r>
        <w:rPr>
          <w:rFonts w:hint="eastAsia" w:hAnsi="宋体" w:cs="宋体"/>
          <w:b/>
          <w:bCs/>
          <w:sz w:val="28"/>
          <w:szCs w:val="28"/>
        </w:rPr>
        <w:t>一、采购需求</w:t>
      </w:r>
    </w:p>
    <w:p>
      <w:pPr>
        <w:snapToGrid w:val="0"/>
        <w:spacing w:before="240" w:line="360" w:lineRule="auto"/>
        <w:ind w:firstLine="480" w:firstLineChars="200"/>
        <w:rPr>
          <w:rFonts w:hAnsi="宋体"/>
          <w:color w:val="000000"/>
          <w:sz w:val="24"/>
          <w:szCs w:val="24"/>
        </w:rPr>
      </w:pPr>
      <w:r>
        <w:rPr>
          <w:rFonts w:hint="eastAsia" w:hAnsi="宋体"/>
          <w:color w:val="000000"/>
          <w:sz w:val="24"/>
          <w:szCs w:val="24"/>
        </w:rPr>
        <w:t>公共教学部课程思政建设</w:t>
      </w:r>
      <w:r>
        <w:rPr>
          <w:rFonts w:hAnsi="宋体"/>
          <w:color w:val="000000"/>
          <w:sz w:val="24"/>
          <w:szCs w:val="24"/>
        </w:rPr>
        <w:t>项目</w:t>
      </w:r>
      <w:r>
        <w:rPr>
          <w:rFonts w:hint="eastAsia" w:hAnsi="宋体"/>
          <w:color w:val="000000"/>
          <w:sz w:val="24"/>
          <w:szCs w:val="24"/>
        </w:rPr>
        <w:t>是为了推进公共基础课程“课程思政”建设，挖掘各门课程蕴含的思政元素，提炼课程思政典型案例</w:t>
      </w:r>
      <w:r>
        <w:rPr>
          <w:rFonts w:hAnsi="宋体"/>
          <w:color w:val="000000"/>
          <w:sz w:val="24"/>
          <w:szCs w:val="24"/>
        </w:rPr>
        <w:t>，</w:t>
      </w:r>
      <w:r>
        <w:rPr>
          <w:rFonts w:hint="eastAsia" w:hAnsi="宋体"/>
          <w:color w:val="000000"/>
          <w:sz w:val="24"/>
          <w:szCs w:val="24"/>
        </w:rPr>
        <w:t>培育具有课程思政特色的示范课程，</w:t>
      </w:r>
      <w:r>
        <w:rPr>
          <w:rFonts w:hAnsi="宋体"/>
          <w:color w:val="000000"/>
          <w:sz w:val="24"/>
          <w:szCs w:val="24"/>
        </w:rPr>
        <w:t>开展</w:t>
      </w:r>
      <w:r>
        <w:rPr>
          <w:rFonts w:hint="eastAsia" w:hAnsi="宋体"/>
          <w:color w:val="000000"/>
          <w:sz w:val="24"/>
          <w:szCs w:val="24"/>
        </w:rPr>
        <w:t>的视频录制工作。</w:t>
      </w:r>
      <w:r>
        <w:rPr>
          <w:rFonts w:hAnsi="宋体"/>
          <w:color w:val="000000"/>
          <w:sz w:val="24"/>
          <w:szCs w:val="24"/>
        </w:rPr>
        <w:t>本次采购共1个包。</w:t>
      </w:r>
      <w:r>
        <w:rPr>
          <w:rFonts w:hint="eastAsia" w:hAnsi="宋体"/>
          <w:color w:val="000000"/>
          <w:sz w:val="24"/>
          <w:szCs w:val="24"/>
        </w:rPr>
        <w:t>具体预算及需求如下：</w:t>
      </w:r>
    </w:p>
    <w:tbl>
      <w:tblPr>
        <w:tblStyle w:val="20"/>
        <w:tblW w:w="9228"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2820"/>
        <w:gridCol w:w="3027"/>
        <w:gridCol w:w="1353"/>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4" w:type="dxa"/>
            <w:shd w:val="clear" w:color="auto" w:fill="auto"/>
            <w:vAlign w:val="center"/>
          </w:tcPr>
          <w:p>
            <w:pPr>
              <w:widowControl/>
              <w:jc w:val="center"/>
              <w:textAlignment w:val="center"/>
              <w:rPr>
                <w:rFonts w:ascii="微软雅黑" w:hAnsi="微软雅黑" w:eastAsia="微软雅黑" w:cs="微软雅黑"/>
                <w:color w:val="000000"/>
                <w:sz w:val="24"/>
                <w:szCs w:val="24"/>
                <w:lang w:bidi="ar"/>
              </w:rPr>
            </w:pPr>
            <w:r>
              <w:rPr>
                <w:rFonts w:hint="eastAsia" w:ascii="微软雅黑" w:hAnsi="微软雅黑" w:eastAsia="微软雅黑" w:cs="微软雅黑"/>
                <w:color w:val="000000"/>
                <w:sz w:val="24"/>
                <w:szCs w:val="24"/>
                <w:lang w:bidi="ar"/>
              </w:rPr>
              <w:t>序号</w:t>
            </w:r>
          </w:p>
        </w:tc>
        <w:tc>
          <w:tcPr>
            <w:tcW w:w="2820" w:type="dxa"/>
            <w:shd w:val="clear" w:color="auto" w:fill="auto"/>
            <w:vAlign w:val="center"/>
          </w:tcPr>
          <w:p>
            <w:pPr>
              <w:widowControl/>
              <w:jc w:val="center"/>
              <w:textAlignment w:val="center"/>
              <w:rPr>
                <w:rFonts w:ascii="微软雅黑" w:hAnsi="微软雅黑" w:eastAsia="微软雅黑" w:cs="微软雅黑"/>
                <w:color w:val="000000"/>
                <w:sz w:val="24"/>
                <w:szCs w:val="24"/>
                <w:lang w:bidi="ar"/>
              </w:rPr>
            </w:pPr>
            <w:r>
              <w:rPr>
                <w:rFonts w:hint="eastAsia" w:ascii="微软雅黑" w:hAnsi="微软雅黑" w:eastAsia="微软雅黑" w:cs="微软雅黑"/>
                <w:color w:val="000000"/>
                <w:sz w:val="24"/>
                <w:szCs w:val="24"/>
                <w:lang w:bidi="ar"/>
              </w:rPr>
              <w:t>项目名称</w:t>
            </w:r>
          </w:p>
        </w:tc>
        <w:tc>
          <w:tcPr>
            <w:tcW w:w="3027" w:type="dxa"/>
            <w:shd w:val="clear" w:color="auto" w:fill="auto"/>
            <w:vAlign w:val="center"/>
          </w:tcPr>
          <w:p>
            <w:pPr>
              <w:widowControl/>
              <w:jc w:val="center"/>
              <w:textAlignment w:val="center"/>
              <w:rPr>
                <w:rFonts w:ascii="微软雅黑" w:hAnsi="微软雅黑" w:eastAsia="微软雅黑" w:cs="微软雅黑"/>
                <w:color w:val="000000"/>
                <w:sz w:val="24"/>
                <w:szCs w:val="24"/>
                <w:lang w:bidi="ar"/>
              </w:rPr>
            </w:pPr>
            <w:r>
              <w:rPr>
                <w:rFonts w:hint="eastAsia" w:ascii="微软雅黑" w:hAnsi="微软雅黑" w:eastAsia="微软雅黑" w:cs="微软雅黑"/>
                <w:color w:val="000000"/>
                <w:sz w:val="24"/>
                <w:szCs w:val="24"/>
                <w:lang w:bidi="ar"/>
              </w:rPr>
              <w:t>服务内容</w:t>
            </w:r>
          </w:p>
        </w:tc>
        <w:tc>
          <w:tcPr>
            <w:tcW w:w="1353" w:type="dxa"/>
            <w:shd w:val="clear" w:color="auto" w:fill="auto"/>
            <w:vAlign w:val="center"/>
          </w:tcPr>
          <w:p>
            <w:pPr>
              <w:widowControl/>
              <w:jc w:val="center"/>
              <w:textAlignment w:val="center"/>
              <w:rPr>
                <w:rFonts w:ascii="微软雅黑" w:hAnsi="微软雅黑" w:eastAsia="微软雅黑" w:cs="微软雅黑"/>
                <w:color w:val="000000"/>
                <w:sz w:val="24"/>
                <w:szCs w:val="24"/>
                <w:lang w:bidi="ar"/>
              </w:rPr>
            </w:pPr>
            <w:r>
              <w:rPr>
                <w:rFonts w:hint="eastAsia" w:ascii="微软雅黑" w:hAnsi="微软雅黑" w:eastAsia="微软雅黑" w:cs="微软雅黑"/>
                <w:color w:val="000000"/>
                <w:sz w:val="24"/>
                <w:szCs w:val="24"/>
                <w:lang w:bidi="ar"/>
              </w:rPr>
              <w:t>时长</w:t>
            </w:r>
          </w:p>
        </w:tc>
        <w:tc>
          <w:tcPr>
            <w:tcW w:w="1464" w:type="dxa"/>
            <w:shd w:val="clear" w:color="auto" w:fill="auto"/>
            <w:vAlign w:val="center"/>
          </w:tcPr>
          <w:p>
            <w:pPr>
              <w:widowControl/>
              <w:jc w:val="center"/>
              <w:textAlignment w:val="center"/>
              <w:rPr>
                <w:rFonts w:ascii="微软雅黑" w:hAnsi="微软雅黑" w:eastAsia="微软雅黑" w:cs="微软雅黑"/>
                <w:color w:val="000000"/>
                <w:sz w:val="24"/>
                <w:szCs w:val="24"/>
                <w:lang w:bidi="ar"/>
              </w:rPr>
            </w:pPr>
            <w:r>
              <w:rPr>
                <w:rFonts w:hint="eastAsia" w:ascii="微软雅黑" w:hAnsi="微软雅黑" w:eastAsia="微软雅黑" w:cs="微软雅黑"/>
                <w:color w:val="000000"/>
                <w:sz w:val="24"/>
                <w:szCs w:val="24"/>
                <w:lang w:bidi="ar"/>
              </w:rPr>
              <w:t>预算</w:t>
            </w:r>
          </w:p>
          <w:p>
            <w:pPr>
              <w:widowControl/>
              <w:jc w:val="center"/>
              <w:textAlignment w:val="center"/>
              <w:rPr>
                <w:rFonts w:ascii="微软雅黑" w:hAnsi="微软雅黑" w:eastAsia="微软雅黑" w:cs="微软雅黑"/>
                <w:color w:val="000000"/>
                <w:sz w:val="24"/>
                <w:szCs w:val="24"/>
                <w:lang w:bidi="ar"/>
              </w:rPr>
            </w:pPr>
            <w:r>
              <w:rPr>
                <w:rFonts w:hint="eastAsia" w:ascii="微软雅黑" w:hAnsi="微软雅黑" w:eastAsia="微软雅黑" w:cs="微软雅黑"/>
                <w:color w:val="000000"/>
                <w:sz w:val="24"/>
                <w:szCs w:val="24"/>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564" w:type="dxa"/>
            <w:shd w:val="clear" w:color="auto" w:fill="auto"/>
            <w:vAlign w:val="center"/>
          </w:tcPr>
          <w:p>
            <w:pPr>
              <w:widowControl/>
              <w:adjustRightInd w:val="0"/>
              <w:snapToGrid w:val="0"/>
              <w:jc w:val="center"/>
              <w:rPr>
                <w:rFonts w:hAnsi="宋体"/>
                <w:color w:val="000000"/>
                <w:sz w:val="24"/>
                <w:szCs w:val="24"/>
              </w:rPr>
            </w:pPr>
            <w:r>
              <w:rPr>
                <w:rFonts w:hint="eastAsia" w:hAnsi="宋体"/>
                <w:color w:val="000000"/>
                <w:sz w:val="24"/>
                <w:szCs w:val="24"/>
              </w:rPr>
              <w:t>1</w:t>
            </w:r>
          </w:p>
        </w:tc>
        <w:tc>
          <w:tcPr>
            <w:tcW w:w="2820" w:type="dxa"/>
            <w:shd w:val="clear" w:color="auto" w:fill="auto"/>
            <w:vAlign w:val="center"/>
          </w:tcPr>
          <w:p>
            <w:pPr>
              <w:widowControl/>
              <w:adjustRightInd w:val="0"/>
              <w:snapToGrid w:val="0"/>
              <w:jc w:val="left"/>
              <w:rPr>
                <w:rFonts w:hAnsi="宋体"/>
                <w:color w:val="000000"/>
                <w:sz w:val="24"/>
                <w:szCs w:val="24"/>
              </w:rPr>
            </w:pPr>
            <w:r>
              <w:rPr>
                <w:rFonts w:hint="eastAsia" w:hAnsi="宋体"/>
                <w:color w:val="000000"/>
                <w:sz w:val="24"/>
                <w:szCs w:val="24"/>
              </w:rPr>
              <w:t>公共教学部“课程思政”建设项目</w:t>
            </w:r>
          </w:p>
        </w:tc>
        <w:tc>
          <w:tcPr>
            <w:tcW w:w="3027" w:type="dxa"/>
            <w:shd w:val="clear" w:color="auto" w:fill="auto"/>
            <w:vAlign w:val="center"/>
          </w:tcPr>
          <w:p>
            <w:pPr>
              <w:widowControl/>
              <w:adjustRightInd w:val="0"/>
              <w:snapToGrid w:val="0"/>
              <w:jc w:val="left"/>
              <w:rPr>
                <w:rFonts w:hAnsi="宋体"/>
                <w:color w:val="000000"/>
                <w:sz w:val="24"/>
                <w:szCs w:val="24"/>
              </w:rPr>
            </w:pPr>
            <w:r>
              <w:rPr>
                <w:rFonts w:hint="eastAsia" w:hAnsi="宋体"/>
                <w:color w:val="000000"/>
                <w:sz w:val="24"/>
                <w:szCs w:val="24"/>
              </w:rPr>
              <w:t>从合同签订后1</w:t>
            </w:r>
            <w:r>
              <w:rPr>
                <w:rFonts w:hAnsi="宋体"/>
                <w:color w:val="000000"/>
                <w:sz w:val="24"/>
                <w:szCs w:val="24"/>
              </w:rPr>
              <w:t>.5</w:t>
            </w:r>
            <w:r>
              <w:rPr>
                <w:rFonts w:hint="eastAsia" w:hAnsi="宋体"/>
                <w:color w:val="000000"/>
                <w:sz w:val="24"/>
                <w:szCs w:val="24"/>
              </w:rPr>
              <w:t>月内完成视频拍摄、制作工作，并提供不少于五年的后期课程应用技术支持服务</w:t>
            </w:r>
          </w:p>
        </w:tc>
        <w:tc>
          <w:tcPr>
            <w:tcW w:w="1353" w:type="dxa"/>
            <w:shd w:val="clear" w:color="auto" w:fill="auto"/>
            <w:vAlign w:val="center"/>
          </w:tcPr>
          <w:p>
            <w:pPr>
              <w:widowControl/>
              <w:adjustRightInd w:val="0"/>
              <w:snapToGrid w:val="0"/>
              <w:jc w:val="center"/>
              <w:rPr>
                <w:rFonts w:hAnsi="宋体"/>
                <w:color w:val="000000"/>
                <w:sz w:val="24"/>
                <w:szCs w:val="24"/>
              </w:rPr>
            </w:pPr>
            <w:r>
              <w:rPr>
                <w:rFonts w:hAnsi="宋体"/>
                <w:color w:val="000000"/>
                <w:sz w:val="24"/>
                <w:szCs w:val="24"/>
              </w:rPr>
              <w:t>320</w:t>
            </w:r>
            <w:r>
              <w:rPr>
                <w:rFonts w:hint="eastAsia" w:hAnsi="宋体"/>
                <w:color w:val="000000"/>
                <w:sz w:val="24"/>
                <w:szCs w:val="24"/>
              </w:rPr>
              <w:t>分钟左右</w:t>
            </w:r>
          </w:p>
        </w:tc>
        <w:tc>
          <w:tcPr>
            <w:tcW w:w="1464" w:type="dxa"/>
            <w:shd w:val="clear" w:color="auto" w:fill="auto"/>
            <w:vAlign w:val="center"/>
          </w:tcPr>
          <w:p>
            <w:pPr>
              <w:widowControl/>
              <w:adjustRightInd w:val="0"/>
              <w:snapToGrid w:val="0"/>
              <w:jc w:val="center"/>
              <w:rPr>
                <w:rFonts w:hAnsi="宋体"/>
                <w:color w:val="000000"/>
                <w:sz w:val="24"/>
                <w:szCs w:val="24"/>
              </w:rPr>
            </w:pPr>
            <w:r>
              <w:rPr>
                <w:rFonts w:hint="eastAsia" w:hAnsi="宋体"/>
                <w:color w:val="000000"/>
                <w:sz w:val="24"/>
                <w:szCs w:val="24"/>
              </w:rPr>
              <w:t>6.</w:t>
            </w:r>
            <w:r>
              <w:rPr>
                <w:rFonts w:hAnsi="宋体"/>
                <w:color w:val="00000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764" w:type="dxa"/>
            <w:gridSpan w:val="4"/>
            <w:shd w:val="clear" w:color="auto" w:fill="auto"/>
            <w:vAlign w:val="center"/>
          </w:tcPr>
          <w:p>
            <w:pPr>
              <w:widowControl/>
              <w:adjustRightInd w:val="0"/>
              <w:snapToGrid w:val="0"/>
              <w:jc w:val="center"/>
              <w:rPr>
                <w:rFonts w:ascii="楷体" w:hAnsi="楷体" w:eastAsia="楷体" w:cs="楷体"/>
                <w:b/>
                <w:bCs/>
                <w:sz w:val="32"/>
                <w:szCs w:val="32"/>
              </w:rPr>
            </w:pPr>
          </w:p>
        </w:tc>
        <w:tc>
          <w:tcPr>
            <w:tcW w:w="1464" w:type="dxa"/>
            <w:shd w:val="clear" w:color="auto" w:fill="auto"/>
            <w:vAlign w:val="center"/>
          </w:tcPr>
          <w:p>
            <w:pPr>
              <w:widowControl/>
              <w:adjustRightInd w:val="0"/>
              <w:snapToGrid w:val="0"/>
              <w:jc w:val="center"/>
              <w:rPr>
                <w:rFonts w:ascii="楷体" w:hAnsi="楷体" w:eastAsia="楷体" w:cs="楷体"/>
                <w:b/>
                <w:bCs/>
                <w:sz w:val="32"/>
                <w:szCs w:val="32"/>
              </w:rPr>
            </w:pPr>
          </w:p>
        </w:tc>
      </w:tr>
    </w:tbl>
    <w:p>
      <w:pPr>
        <w:adjustRightInd w:val="0"/>
        <w:snapToGrid w:val="0"/>
        <w:spacing w:line="440" w:lineRule="exact"/>
        <w:ind w:firstLine="562" w:firstLineChars="200"/>
        <w:rPr>
          <w:rFonts w:hAnsi="宋体" w:cs="宋体"/>
          <w:b/>
          <w:bCs/>
          <w:sz w:val="28"/>
          <w:szCs w:val="28"/>
        </w:rPr>
      </w:pPr>
      <w:r>
        <w:rPr>
          <w:rFonts w:hint="eastAsia" w:hAnsi="宋体" w:cs="宋体"/>
          <w:b/>
          <w:bCs/>
          <w:sz w:val="28"/>
          <w:szCs w:val="28"/>
        </w:rPr>
        <w:t>二、项目服务及技术要求</w:t>
      </w:r>
    </w:p>
    <w:bookmarkEnd w:id="97"/>
    <w:p>
      <w:pPr>
        <w:adjustRightInd w:val="0"/>
        <w:snapToGrid w:val="0"/>
        <w:spacing w:line="440" w:lineRule="exact"/>
        <w:ind w:firstLine="480" w:firstLineChars="200"/>
        <w:rPr>
          <w:rFonts w:hAnsi="宋体"/>
          <w:bCs/>
          <w:sz w:val="24"/>
        </w:rPr>
      </w:pPr>
      <w:r>
        <w:rPr>
          <w:rFonts w:hint="eastAsia" w:hAnsi="宋体"/>
          <w:bCs/>
          <w:sz w:val="24"/>
        </w:rPr>
        <w:t>（一）课程设计</w:t>
      </w:r>
    </w:p>
    <w:p>
      <w:pPr>
        <w:adjustRightInd w:val="0"/>
        <w:snapToGrid w:val="0"/>
        <w:spacing w:line="440" w:lineRule="exact"/>
        <w:ind w:firstLine="480" w:firstLineChars="200"/>
        <w:rPr>
          <w:rFonts w:hAnsi="宋体"/>
          <w:bCs/>
          <w:sz w:val="24"/>
        </w:rPr>
      </w:pPr>
      <w:r>
        <w:rPr>
          <w:rFonts w:hint="eastAsia" w:hAnsi="宋体"/>
          <w:bCs/>
          <w:sz w:val="24"/>
        </w:rPr>
        <w:t>1</w:t>
      </w:r>
      <w:r>
        <w:rPr>
          <w:rFonts w:hAnsi="宋体"/>
          <w:bCs/>
          <w:sz w:val="24"/>
        </w:rPr>
        <w:t>.</w:t>
      </w:r>
      <w:r>
        <w:rPr>
          <w:rFonts w:hint="eastAsia" w:hAnsi="宋体"/>
          <w:bCs/>
          <w:sz w:val="24"/>
        </w:rPr>
        <w:t>教学设计要求：教学设计指导（由教育厅或教育部认定的课程思政教学名师或团队负责人担任）同课程主要负责人根据教学大纲制定整体教学设计方案。与教师、公共教学部沟通收集课程思政资料并根据课程量身定做创意策划，分镜头脚本梳理。解说词以及故事板。创意设计必须符合我方的要求，具有较强的视觉冲击力和艺术表现力。要求教学目标明确，思政元素融入恰当，思政教育的载体新颖，知识点或技能点教学策略得当，教学重难点突出，教学逻辑合理，能够有效的提升教学效果及思政育人效果，能够支撑教师的课堂教学、实训教学、学生的自主学习，典型知识点或技能点运用信息数字化手段合理且恰当。</w:t>
      </w:r>
    </w:p>
    <w:p>
      <w:pPr>
        <w:pStyle w:val="2"/>
        <w:adjustRightInd w:val="0"/>
        <w:snapToGrid w:val="0"/>
        <w:spacing w:line="440" w:lineRule="exact"/>
        <w:ind w:left="0" w:leftChars="0" w:firstLine="480"/>
        <w:rPr>
          <w:sz w:val="24"/>
          <w:szCs w:val="24"/>
        </w:rPr>
      </w:pPr>
      <w:r>
        <w:rPr>
          <w:rFonts w:hint="eastAsia"/>
          <w:sz w:val="24"/>
          <w:szCs w:val="24"/>
        </w:rPr>
        <w:t>2</w:t>
      </w:r>
      <w:r>
        <w:rPr>
          <w:sz w:val="24"/>
          <w:szCs w:val="24"/>
        </w:rPr>
        <w:t>.</w:t>
      </w:r>
      <w:r>
        <w:rPr>
          <w:rFonts w:hint="eastAsia"/>
          <w:sz w:val="24"/>
          <w:szCs w:val="24"/>
        </w:rPr>
        <w:t>信息数字化要求：课程涉及信息数字化手段包含但不限于微视频、动画。对课程视频进行精准剪辑，每个知识点或一个典型案例制作成一个慕课视频，每个慕课视频7-1</w:t>
      </w:r>
      <w:r>
        <w:rPr>
          <w:sz w:val="24"/>
          <w:szCs w:val="24"/>
        </w:rPr>
        <w:t>0</w:t>
      </w:r>
      <w:r>
        <w:rPr>
          <w:rFonts w:hint="eastAsia"/>
          <w:sz w:val="24"/>
          <w:szCs w:val="24"/>
        </w:rPr>
        <w:t>分钟，最多不超过1</w:t>
      </w:r>
      <w:r>
        <w:rPr>
          <w:sz w:val="24"/>
          <w:szCs w:val="24"/>
        </w:rPr>
        <w:t>5</w:t>
      </w:r>
      <w:r>
        <w:rPr>
          <w:rFonts w:hint="eastAsia"/>
          <w:sz w:val="24"/>
          <w:szCs w:val="24"/>
        </w:rPr>
        <w:t>分钟。</w:t>
      </w:r>
    </w:p>
    <w:p>
      <w:pPr>
        <w:pStyle w:val="2"/>
        <w:adjustRightInd w:val="0"/>
        <w:snapToGrid w:val="0"/>
        <w:spacing w:line="440" w:lineRule="exact"/>
        <w:ind w:left="0" w:leftChars="0" w:firstLine="480"/>
        <w:rPr>
          <w:sz w:val="24"/>
          <w:szCs w:val="24"/>
        </w:rPr>
      </w:pPr>
      <w:r>
        <w:rPr>
          <w:rFonts w:hint="eastAsia"/>
          <w:sz w:val="24"/>
          <w:szCs w:val="24"/>
        </w:rPr>
        <w:t>3</w:t>
      </w:r>
      <w:r>
        <w:rPr>
          <w:sz w:val="24"/>
          <w:szCs w:val="24"/>
        </w:rPr>
        <w:t>.</w:t>
      </w:r>
      <w:r>
        <w:rPr>
          <w:rFonts w:hint="eastAsia"/>
          <w:sz w:val="24"/>
          <w:szCs w:val="24"/>
        </w:rPr>
        <w:t>在课程的主讲教师明确教学目标的情况下，要求制作方根据教师提供的大纲文本、音频、视频、PPT 等课程参考素材细分知识点，设计思政元素，与课程教师按课程章节和知识点对有关课程资料进行美化和包装，包括但不限于课程 PPT、教案、拓展文档等资料。</w:t>
      </w:r>
    </w:p>
    <w:p>
      <w:pPr>
        <w:pStyle w:val="2"/>
        <w:adjustRightInd w:val="0"/>
        <w:snapToGrid w:val="0"/>
        <w:spacing w:line="440" w:lineRule="exact"/>
        <w:ind w:left="0" w:leftChars="0" w:firstLine="480"/>
        <w:rPr>
          <w:sz w:val="24"/>
          <w:szCs w:val="24"/>
        </w:rPr>
      </w:pPr>
      <w:r>
        <w:rPr>
          <w:rFonts w:hint="eastAsia"/>
          <w:sz w:val="24"/>
          <w:szCs w:val="24"/>
        </w:rPr>
        <w:t>4</w:t>
      </w:r>
      <w:r>
        <w:rPr>
          <w:sz w:val="24"/>
          <w:szCs w:val="24"/>
        </w:rPr>
        <w:t>.</w:t>
      </w:r>
      <w:r>
        <w:rPr>
          <w:rFonts w:hint="eastAsia"/>
          <w:sz w:val="24"/>
          <w:szCs w:val="24"/>
        </w:rPr>
        <w:t>提前针对老师的讲课风格设计出一套适合老师讲课的拍摄方式和拍摄场景，并进行脚本设计与后期制作统筹策划。</w:t>
      </w:r>
    </w:p>
    <w:p>
      <w:pPr>
        <w:pStyle w:val="2"/>
        <w:adjustRightInd w:val="0"/>
        <w:snapToGrid w:val="0"/>
        <w:spacing w:line="440" w:lineRule="exact"/>
        <w:ind w:left="0" w:leftChars="0" w:firstLine="480"/>
        <w:rPr>
          <w:sz w:val="24"/>
          <w:szCs w:val="24"/>
        </w:rPr>
      </w:pPr>
      <w:r>
        <w:rPr>
          <w:rFonts w:hint="eastAsia"/>
          <w:sz w:val="24"/>
          <w:szCs w:val="24"/>
        </w:rPr>
        <w:t>5</w:t>
      </w:r>
      <w:r>
        <w:rPr>
          <w:sz w:val="24"/>
          <w:szCs w:val="24"/>
        </w:rPr>
        <w:t>.</w:t>
      </w:r>
      <w:r>
        <w:rPr>
          <w:rFonts w:hint="eastAsia"/>
          <w:sz w:val="24"/>
          <w:szCs w:val="24"/>
        </w:rPr>
        <w:t>教学设计指导、制作人与课程教师确定拍摄章节和知识点，根据课程内容进行策划制作效果，选择场地、服装搭配，协调拍摄注意事项等问题。</w:t>
      </w:r>
    </w:p>
    <w:p>
      <w:pPr>
        <w:pStyle w:val="2"/>
        <w:adjustRightInd w:val="0"/>
        <w:snapToGrid w:val="0"/>
        <w:spacing w:line="440" w:lineRule="exact"/>
        <w:ind w:left="0" w:leftChars="0" w:firstLine="0" w:firstLineChars="0"/>
        <w:rPr>
          <w:sz w:val="24"/>
          <w:szCs w:val="24"/>
        </w:rPr>
      </w:pPr>
      <w:r>
        <w:rPr>
          <w:rFonts w:hint="eastAsia"/>
          <w:sz w:val="24"/>
          <w:szCs w:val="24"/>
        </w:rPr>
        <w:t xml:space="preserve"> </w:t>
      </w:r>
      <w:r>
        <w:rPr>
          <w:sz w:val="24"/>
          <w:szCs w:val="24"/>
        </w:rPr>
        <w:t xml:space="preserve">   </w:t>
      </w:r>
      <w:r>
        <w:rPr>
          <w:rFonts w:hint="eastAsia"/>
          <w:sz w:val="24"/>
          <w:szCs w:val="24"/>
        </w:rPr>
        <w:t>（二）拍摄准备</w:t>
      </w:r>
    </w:p>
    <w:p>
      <w:pPr>
        <w:pStyle w:val="2"/>
        <w:adjustRightInd w:val="0"/>
        <w:snapToGrid w:val="0"/>
        <w:spacing w:line="440" w:lineRule="exact"/>
        <w:ind w:left="0" w:leftChars="0" w:firstLine="480"/>
        <w:rPr>
          <w:sz w:val="24"/>
          <w:szCs w:val="24"/>
        </w:rPr>
      </w:pPr>
      <w:r>
        <w:rPr>
          <w:rFonts w:hint="eastAsia"/>
          <w:sz w:val="24"/>
          <w:szCs w:val="24"/>
        </w:rPr>
        <w:t>1</w:t>
      </w:r>
      <w:r>
        <w:rPr>
          <w:sz w:val="24"/>
          <w:szCs w:val="24"/>
        </w:rPr>
        <w:t>.</w:t>
      </w:r>
      <w:r>
        <w:rPr>
          <w:rFonts w:hint="eastAsia"/>
          <w:sz w:val="24"/>
          <w:szCs w:val="24"/>
        </w:rPr>
        <w:t>拍摄前对老师进行培训，包括拍摄时的发声、角度、表情、化妆等。要求拍摄前对老师进行培训，让老师可以根据课程内容梳理课程知识点及对应拍摄风格，能够让老师熟悉拍摄流程，尽快融入课程拍摄中。拍摄要与老师深度沟通，收集材料，协助起草课程脚本、拟定分组镜头大纲。配备专业拍摄人员，具备丰富的课程视频拍摄经验，能够灵活处理拍摄过程中的各类问题。</w:t>
      </w:r>
    </w:p>
    <w:p>
      <w:pPr>
        <w:pStyle w:val="2"/>
        <w:adjustRightInd w:val="0"/>
        <w:snapToGrid w:val="0"/>
        <w:spacing w:line="440" w:lineRule="exact"/>
        <w:ind w:left="0" w:leftChars="0" w:firstLine="480"/>
        <w:rPr>
          <w:sz w:val="24"/>
          <w:szCs w:val="24"/>
        </w:rPr>
      </w:pPr>
      <w:r>
        <w:rPr>
          <w:rFonts w:hint="eastAsia"/>
          <w:sz w:val="24"/>
          <w:szCs w:val="24"/>
        </w:rPr>
        <w:t>2</w:t>
      </w:r>
      <w:r>
        <w:rPr>
          <w:sz w:val="24"/>
          <w:szCs w:val="24"/>
        </w:rPr>
        <w:t>.</w:t>
      </w:r>
      <w:r>
        <w:rPr>
          <w:rFonts w:hint="eastAsia"/>
          <w:sz w:val="24"/>
          <w:szCs w:val="24"/>
        </w:rPr>
        <w:t>录制场所及拍摄方式，为课程拍摄提供专业的摄影棚和相关配套设备。布置拍摄环境，及时联系教师，确定拍摄场地和时间。能够调动教师情绪，以确保教师在录制过程中保持最佳精神状态。为满足实际课程拍摄的需要，供应商需至少提供以下几种拍摄模式供课程负责老师选择。</w:t>
      </w:r>
    </w:p>
    <w:p>
      <w:pPr>
        <w:pStyle w:val="2"/>
        <w:adjustRightInd w:val="0"/>
        <w:snapToGrid w:val="0"/>
        <w:spacing w:line="440" w:lineRule="exact"/>
        <w:ind w:left="0" w:leftChars="0" w:firstLine="480"/>
        <w:rPr>
          <w:sz w:val="24"/>
          <w:szCs w:val="24"/>
        </w:rPr>
      </w:pPr>
      <w:r>
        <w:rPr>
          <w:rFonts w:hint="eastAsia"/>
          <w:sz w:val="24"/>
          <w:szCs w:val="24"/>
        </w:rPr>
        <w:t>（1）大屏 PPT 模式：在摄影棚内拍摄，全程 PPT 演示可展示教学素材。</w:t>
      </w:r>
    </w:p>
    <w:p>
      <w:pPr>
        <w:pStyle w:val="2"/>
        <w:adjustRightInd w:val="0"/>
        <w:snapToGrid w:val="0"/>
        <w:spacing w:line="440" w:lineRule="exact"/>
        <w:ind w:left="0" w:leftChars="0" w:firstLine="480"/>
        <w:rPr>
          <w:sz w:val="24"/>
          <w:szCs w:val="24"/>
        </w:rPr>
      </w:pPr>
      <w:r>
        <w:rPr>
          <w:rFonts w:hint="eastAsia"/>
          <w:sz w:val="24"/>
          <w:szCs w:val="24"/>
        </w:rPr>
        <w:t>（2）实景访谈模式：在摄影棚内摆拍根据访谈人数，设定机位数一般 2-3 机位，教学过程由多位老师交流讨论完成。适合启发性的、思维拓展和发散的课程内容。</w:t>
      </w:r>
    </w:p>
    <w:p>
      <w:pPr>
        <w:pStyle w:val="2"/>
        <w:adjustRightInd w:val="0"/>
        <w:snapToGrid w:val="0"/>
        <w:spacing w:line="440" w:lineRule="exact"/>
        <w:ind w:left="0" w:leftChars="0" w:firstLine="480"/>
        <w:rPr>
          <w:sz w:val="24"/>
          <w:szCs w:val="24"/>
        </w:rPr>
      </w:pPr>
      <w:r>
        <w:rPr>
          <w:rFonts w:hint="eastAsia"/>
          <w:sz w:val="24"/>
          <w:szCs w:val="24"/>
        </w:rPr>
        <w:t>（3）实景演示模式：在实训基地安排多机位拍摄通过实际操作演示完成教学过程。</w:t>
      </w:r>
    </w:p>
    <w:p>
      <w:pPr>
        <w:pStyle w:val="2"/>
        <w:adjustRightInd w:val="0"/>
        <w:snapToGrid w:val="0"/>
        <w:spacing w:line="440" w:lineRule="exact"/>
        <w:ind w:left="0" w:leftChars="0" w:firstLine="480"/>
        <w:rPr>
          <w:sz w:val="24"/>
          <w:szCs w:val="24"/>
        </w:rPr>
      </w:pPr>
      <w:r>
        <w:rPr>
          <w:rFonts w:hint="eastAsia"/>
          <w:sz w:val="24"/>
          <w:szCs w:val="24"/>
        </w:rPr>
        <w:t>（4）黑白背模式：在摄影棚内按照脚本设计完成课程拍摄，后期配动态背景可以根据老师讲课风格特点增加课程趣味性。</w:t>
      </w:r>
    </w:p>
    <w:p>
      <w:pPr>
        <w:pStyle w:val="2"/>
        <w:adjustRightInd w:val="0"/>
        <w:snapToGrid w:val="0"/>
        <w:spacing w:line="440" w:lineRule="exact"/>
        <w:ind w:left="0" w:leftChars="0" w:firstLine="480"/>
        <w:rPr>
          <w:sz w:val="24"/>
          <w:szCs w:val="24"/>
        </w:rPr>
      </w:pPr>
      <w:r>
        <w:rPr>
          <w:rFonts w:hint="eastAsia"/>
          <w:sz w:val="24"/>
          <w:szCs w:val="24"/>
        </w:rPr>
        <w:t>（5）虚拟抠像模式：老师在基地摄影棚内完成虚拟背景拍摄，后期用抠像模式展现课程，可根据课程特点加入各种风格的背景等。</w:t>
      </w:r>
    </w:p>
    <w:p>
      <w:pPr>
        <w:pStyle w:val="2"/>
        <w:adjustRightInd w:val="0"/>
        <w:snapToGrid w:val="0"/>
        <w:spacing w:line="440" w:lineRule="exact"/>
        <w:ind w:left="0" w:leftChars="0" w:firstLine="480"/>
        <w:rPr>
          <w:sz w:val="24"/>
          <w:szCs w:val="24"/>
        </w:rPr>
      </w:pPr>
      <w:r>
        <w:rPr>
          <w:rFonts w:hint="eastAsia"/>
          <w:sz w:val="24"/>
          <w:szCs w:val="24"/>
        </w:rPr>
        <w:t>（6）真人动画模式：在摄影棚内按照脚本设计完成课程拍摄，后期配动画可以根据老师讲课风格特点增加课程趣味性。</w:t>
      </w:r>
    </w:p>
    <w:p>
      <w:pPr>
        <w:pStyle w:val="2"/>
        <w:adjustRightInd w:val="0"/>
        <w:snapToGrid w:val="0"/>
        <w:spacing w:line="440" w:lineRule="exact"/>
        <w:ind w:left="0" w:leftChars="0" w:firstLine="480"/>
        <w:rPr>
          <w:sz w:val="24"/>
          <w:szCs w:val="24"/>
        </w:rPr>
      </w:pPr>
      <w:r>
        <w:rPr>
          <w:rFonts w:hint="eastAsia"/>
          <w:sz w:val="24"/>
          <w:szCs w:val="24"/>
        </w:rPr>
        <w:t>（7）完全动画模式：老师根据讲稿在基地摄影棚内完成高音质录音，后期用动画模式展现课程，可根据课程特点加入诙谐幽默等风格的配音动画等。</w:t>
      </w:r>
    </w:p>
    <w:p>
      <w:pPr>
        <w:pStyle w:val="2"/>
        <w:adjustRightInd w:val="0"/>
        <w:snapToGrid w:val="0"/>
        <w:spacing w:line="440" w:lineRule="exact"/>
        <w:ind w:left="0" w:leftChars="0" w:firstLine="480"/>
        <w:rPr>
          <w:sz w:val="24"/>
          <w:szCs w:val="24"/>
        </w:rPr>
      </w:pPr>
      <w:r>
        <w:rPr>
          <w:rFonts w:hint="eastAsia"/>
          <w:sz w:val="24"/>
          <w:szCs w:val="24"/>
        </w:rPr>
        <w:t>根据拍摄技术标准和课程内容，设计贴合教师授课特点的拍摄形式，与教师沟通说明拍摄要求，并为教师提供专业的妆容、着装意见。</w:t>
      </w:r>
    </w:p>
    <w:p>
      <w:pPr>
        <w:pStyle w:val="2"/>
        <w:adjustRightInd w:val="0"/>
        <w:snapToGrid w:val="0"/>
        <w:spacing w:line="440" w:lineRule="exact"/>
        <w:ind w:left="0" w:leftChars="0" w:firstLine="480"/>
        <w:rPr>
          <w:sz w:val="24"/>
          <w:szCs w:val="24"/>
        </w:rPr>
      </w:pPr>
      <w:r>
        <w:rPr>
          <w:rFonts w:hint="eastAsia"/>
          <w:sz w:val="24"/>
          <w:szCs w:val="24"/>
        </w:rPr>
        <w:t>（三）设备要求</w:t>
      </w:r>
    </w:p>
    <w:p>
      <w:pPr>
        <w:pStyle w:val="2"/>
        <w:adjustRightInd w:val="0"/>
        <w:snapToGrid w:val="0"/>
        <w:spacing w:line="440" w:lineRule="exact"/>
        <w:ind w:left="0" w:leftChars="0" w:firstLine="480"/>
        <w:rPr>
          <w:sz w:val="24"/>
          <w:szCs w:val="24"/>
        </w:rPr>
      </w:pPr>
      <w:r>
        <w:rPr>
          <w:rFonts w:hint="eastAsia"/>
          <w:sz w:val="24"/>
          <w:szCs w:val="24"/>
        </w:rPr>
        <w:t>必须运用专业的拍摄设备和辅助及灯光设备，拍摄手段丰富，镜头运动方式多样，在视听效果上要求音乐与画面统一协调达到最佳的视听感受。</w:t>
      </w:r>
    </w:p>
    <w:p>
      <w:pPr>
        <w:pStyle w:val="2"/>
        <w:adjustRightInd w:val="0"/>
        <w:snapToGrid w:val="0"/>
        <w:spacing w:line="440" w:lineRule="exact"/>
        <w:ind w:left="0" w:leftChars="0" w:firstLine="480"/>
        <w:rPr>
          <w:sz w:val="24"/>
          <w:szCs w:val="24"/>
        </w:rPr>
      </w:pPr>
      <w:r>
        <w:rPr>
          <w:rFonts w:hint="eastAsia"/>
          <w:sz w:val="24"/>
          <w:szCs w:val="24"/>
        </w:rPr>
        <w:t>1</w:t>
      </w:r>
      <w:r>
        <w:rPr>
          <w:sz w:val="24"/>
          <w:szCs w:val="24"/>
        </w:rPr>
        <w:t>.</w:t>
      </w:r>
      <w:r>
        <w:rPr>
          <w:rFonts w:hint="eastAsia"/>
          <w:sz w:val="24"/>
          <w:szCs w:val="24"/>
        </w:rPr>
        <w:t>制作方提供多场地专业课程录影棚作为拍摄场地，需在拍摄场地专门搭建符合不同课程内容特点的教学场景，以方便用于课程拍摄制作。</w:t>
      </w:r>
    </w:p>
    <w:p>
      <w:pPr>
        <w:pStyle w:val="2"/>
        <w:adjustRightInd w:val="0"/>
        <w:snapToGrid w:val="0"/>
        <w:spacing w:line="440" w:lineRule="exact"/>
        <w:ind w:left="0" w:leftChars="0" w:firstLine="480"/>
        <w:rPr>
          <w:sz w:val="24"/>
          <w:szCs w:val="24"/>
        </w:rPr>
      </w:pPr>
      <w:r>
        <w:rPr>
          <w:rFonts w:hint="eastAsia"/>
          <w:sz w:val="24"/>
          <w:szCs w:val="24"/>
        </w:rPr>
        <w:t>2</w:t>
      </w:r>
      <w:r>
        <w:rPr>
          <w:sz w:val="24"/>
          <w:szCs w:val="24"/>
        </w:rPr>
        <w:t>.</w:t>
      </w:r>
      <w:r>
        <w:rPr>
          <w:rFonts w:hint="eastAsia"/>
          <w:sz w:val="24"/>
          <w:szCs w:val="24"/>
        </w:rPr>
        <w:t>录像设备：使用 2 台或以上专业级高清 4k 及以上数字设备，保证设备能正常完成拍摄任务。多机位部署专业广播级 4k 高清摄像机（至少 3 机位），最大像素不低于 1160 万，摄像机拍摄时采用分辨率为 4096×2160，60fps 的要求，录制视频宽高比 16:9，视频帧率为 25 帧/秒。拍摄设备要同型同款，多台高清摄像机保证录制效果的一致性；收音设备：使用至少 3 个专业领夹收声设备，保证教师和学生发言的录音质量。</w:t>
      </w:r>
    </w:p>
    <w:p>
      <w:pPr>
        <w:pStyle w:val="2"/>
        <w:adjustRightInd w:val="0"/>
        <w:snapToGrid w:val="0"/>
        <w:spacing w:line="440" w:lineRule="exact"/>
        <w:ind w:left="0" w:leftChars="0" w:firstLine="480"/>
        <w:rPr>
          <w:sz w:val="24"/>
          <w:szCs w:val="24"/>
        </w:rPr>
      </w:pPr>
      <w:r>
        <w:rPr>
          <w:rFonts w:hint="eastAsia"/>
          <w:sz w:val="24"/>
          <w:szCs w:val="24"/>
        </w:rPr>
        <w:t>3</w:t>
      </w:r>
      <w:r>
        <w:rPr>
          <w:sz w:val="24"/>
          <w:szCs w:val="24"/>
        </w:rPr>
        <w:t>.</w:t>
      </w:r>
      <w:r>
        <w:rPr>
          <w:rFonts w:hint="eastAsia"/>
          <w:sz w:val="24"/>
          <w:szCs w:val="24"/>
        </w:rPr>
        <w:t>应为拍摄场地配备三基色灯光系统或专业演播室用 LED 灯光系统、聚光灯、音响系统、吊装式麦克风和无线佩戴式麦克风若干等，保证录音、录像质量；监听设备：监听耳机 3 副。录音设备：根据课程内容要求，使用专业级话筒，保证主讲教师及与课程相关人员声音清晰。存储设备：专业储存设备及有效容量应能保证正常完成拍摄任务。</w:t>
      </w:r>
    </w:p>
    <w:p>
      <w:pPr>
        <w:pStyle w:val="2"/>
        <w:adjustRightInd w:val="0"/>
        <w:snapToGrid w:val="0"/>
        <w:spacing w:line="440" w:lineRule="exact"/>
        <w:ind w:left="0" w:leftChars="0" w:firstLine="480"/>
        <w:rPr>
          <w:sz w:val="24"/>
          <w:szCs w:val="24"/>
        </w:rPr>
      </w:pPr>
      <w:r>
        <w:rPr>
          <w:rFonts w:hint="eastAsia"/>
          <w:sz w:val="24"/>
          <w:szCs w:val="24"/>
        </w:rPr>
        <w:t>4</w:t>
      </w:r>
      <w:r>
        <w:rPr>
          <w:sz w:val="24"/>
          <w:szCs w:val="24"/>
        </w:rPr>
        <w:t>.</w:t>
      </w:r>
      <w:r>
        <w:rPr>
          <w:rFonts w:hint="eastAsia"/>
          <w:sz w:val="24"/>
          <w:szCs w:val="24"/>
        </w:rPr>
        <w:t>应为拍摄场地配备专业投影题词设备、中控台等设备；辅助记忆设备（提词器）1 套。后期制作设备须采用专业非线编辑系统(1920*50M/S)进行（如抠像、颜色校正、双声道处理）。</w:t>
      </w:r>
    </w:p>
    <w:p>
      <w:pPr>
        <w:pStyle w:val="2"/>
        <w:adjustRightInd w:val="0"/>
        <w:snapToGrid w:val="0"/>
        <w:spacing w:line="440" w:lineRule="exact"/>
        <w:ind w:left="0" w:leftChars="0" w:firstLine="480"/>
        <w:rPr>
          <w:sz w:val="24"/>
          <w:szCs w:val="24"/>
        </w:rPr>
      </w:pPr>
      <w:r>
        <w:rPr>
          <w:rFonts w:hint="eastAsia" w:hAnsi="宋体" w:cs="宋体"/>
          <w:bCs/>
          <w:sz w:val="24"/>
          <w:szCs w:val="24"/>
        </w:rPr>
        <w:t>★</w:t>
      </w:r>
      <w:r>
        <w:rPr>
          <w:rFonts w:hint="eastAsia"/>
          <w:sz w:val="24"/>
          <w:szCs w:val="24"/>
        </w:rPr>
        <w:t>（四）视频要求</w:t>
      </w:r>
    </w:p>
    <w:p>
      <w:pPr>
        <w:pStyle w:val="2"/>
        <w:adjustRightInd w:val="0"/>
        <w:snapToGrid w:val="0"/>
        <w:spacing w:line="440" w:lineRule="exact"/>
        <w:ind w:left="0" w:leftChars="0" w:firstLine="480"/>
        <w:rPr>
          <w:sz w:val="24"/>
          <w:szCs w:val="24"/>
        </w:rPr>
      </w:pPr>
      <w:r>
        <w:rPr>
          <w:rFonts w:hint="eastAsia"/>
          <w:sz w:val="24"/>
          <w:szCs w:val="24"/>
        </w:rPr>
        <w:t>1</w:t>
      </w:r>
      <w:r>
        <w:rPr>
          <w:sz w:val="24"/>
          <w:szCs w:val="24"/>
        </w:rPr>
        <w:t>.</w:t>
      </w:r>
      <w:r>
        <w:rPr>
          <w:rFonts w:hint="eastAsia"/>
          <w:sz w:val="24"/>
          <w:szCs w:val="24"/>
        </w:rPr>
        <w:t>画面清晰、通透，曝光正确、适度，色彩还原准确。节目图像连续、无缺失，没有与课程内容无关的跳动、闪烁或马赛克等异常现象，图像的明暗、色彩和层次应与节目内容相对应。在同一门课程中标清和高清格式不得混用。</w:t>
      </w:r>
    </w:p>
    <w:p>
      <w:pPr>
        <w:pStyle w:val="2"/>
        <w:adjustRightInd w:val="0"/>
        <w:snapToGrid w:val="0"/>
        <w:spacing w:line="440" w:lineRule="exact"/>
        <w:ind w:left="0" w:leftChars="0" w:firstLine="480"/>
        <w:rPr>
          <w:sz w:val="24"/>
          <w:szCs w:val="24"/>
        </w:rPr>
      </w:pPr>
      <w:r>
        <w:rPr>
          <w:rFonts w:hint="eastAsia"/>
          <w:sz w:val="24"/>
          <w:szCs w:val="24"/>
        </w:rPr>
        <w:t>2</w:t>
      </w:r>
      <w:r>
        <w:rPr>
          <w:sz w:val="24"/>
          <w:szCs w:val="24"/>
        </w:rPr>
        <w:t>.</w:t>
      </w:r>
      <w:r>
        <w:rPr>
          <w:rFonts w:hint="eastAsia"/>
          <w:sz w:val="24"/>
          <w:szCs w:val="24"/>
        </w:rPr>
        <w:t>片头片尾制作，长度 4-10 秒钟，能够体现课程的思政特色，形式新颖，具有学校元素以及适当的音乐；片头或片尾应使用体现课程所属院校、机构特色的素材；片头或片尾中应出现明显、不失真的课程所属院校、机构的字样和标志。</w:t>
      </w:r>
    </w:p>
    <w:p>
      <w:pPr>
        <w:pStyle w:val="2"/>
        <w:adjustRightInd w:val="0"/>
        <w:snapToGrid w:val="0"/>
        <w:spacing w:line="440" w:lineRule="exact"/>
        <w:ind w:left="0" w:leftChars="0" w:firstLine="480"/>
        <w:rPr>
          <w:sz w:val="24"/>
          <w:szCs w:val="24"/>
        </w:rPr>
      </w:pPr>
      <w:r>
        <w:rPr>
          <w:rFonts w:hint="eastAsia"/>
          <w:sz w:val="24"/>
          <w:szCs w:val="24"/>
        </w:rPr>
        <w:t>3</w:t>
      </w:r>
      <w:r>
        <w:rPr>
          <w:sz w:val="24"/>
          <w:szCs w:val="24"/>
        </w:rPr>
        <w:t>.</w:t>
      </w:r>
      <w:r>
        <w:rPr>
          <w:rFonts w:hint="eastAsia"/>
          <w:sz w:val="24"/>
          <w:szCs w:val="24"/>
        </w:rPr>
        <w:t>制作有课程特色和学校特色的课程封图：文件格式 jpg 或 gif，图片大小不低于 1024*768，风格清新自然，有吸引力。制作课程资源添加学校 LOGO：视频的相应位置加学校 LOGO 标志，标识应明显、且不影响正常视频内容。在视频中不得出现制作公司署名。</w:t>
      </w:r>
    </w:p>
    <w:p>
      <w:pPr>
        <w:pStyle w:val="2"/>
        <w:adjustRightInd w:val="0"/>
        <w:snapToGrid w:val="0"/>
        <w:spacing w:line="440" w:lineRule="exact"/>
        <w:ind w:left="0" w:leftChars="0" w:firstLine="480"/>
        <w:rPr>
          <w:sz w:val="24"/>
          <w:szCs w:val="24"/>
        </w:rPr>
      </w:pPr>
      <w:r>
        <w:rPr>
          <w:rFonts w:hint="eastAsia"/>
          <w:sz w:val="24"/>
          <w:szCs w:val="24"/>
        </w:rPr>
        <w:t>4</w:t>
      </w:r>
      <w:r>
        <w:rPr>
          <w:sz w:val="24"/>
          <w:szCs w:val="24"/>
        </w:rPr>
        <w:t>.</w:t>
      </w:r>
      <w:r>
        <w:rPr>
          <w:rFonts w:hint="eastAsia"/>
          <w:sz w:val="24"/>
          <w:szCs w:val="24"/>
        </w:rPr>
        <w:t>对授课内容按照教学过程、知识点等进行切割，并打上标签，便于检索。对于视频可提供多种全文检索方式：标题检索、主讲人检索、主讲人单位检索、知识节点检索。</w:t>
      </w:r>
    </w:p>
    <w:p>
      <w:pPr>
        <w:pStyle w:val="2"/>
        <w:adjustRightInd w:val="0"/>
        <w:snapToGrid w:val="0"/>
        <w:spacing w:line="440" w:lineRule="exact"/>
        <w:ind w:left="0" w:leftChars="0" w:firstLine="480"/>
        <w:rPr>
          <w:sz w:val="24"/>
          <w:szCs w:val="24"/>
        </w:rPr>
      </w:pPr>
      <w:r>
        <w:rPr>
          <w:rFonts w:hint="eastAsia"/>
          <w:sz w:val="24"/>
          <w:szCs w:val="24"/>
        </w:rPr>
        <w:t>（五）视频拍摄技术指标</w:t>
      </w:r>
    </w:p>
    <w:p>
      <w:pPr>
        <w:pStyle w:val="2"/>
        <w:adjustRightInd w:val="0"/>
        <w:snapToGrid w:val="0"/>
        <w:spacing w:line="440" w:lineRule="exact"/>
        <w:ind w:left="0" w:leftChars="0" w:firstLine="480"/>
        <w:rPr>
          <w:sz w:val="24"/>
          <w:szCs w:val="24"/>
        </w:rPr>
      </w:pPr>
      <w:r>
        <w:rPr>
          <w:rFonts w:hint="eastAsia"/>
          <w:sz w:val="24"/>
          <w:szCs w:val="24"/>
        </w:rPr>
        <w:t>1</w:t>
      </w:r>
      <w:r>
        <w:rPr>
          <w:sz w:val="24"/>
          <w:szCs w:val="24"/>
        </w:rPr>
        <w:t>.</w:t>
      </w:r>
      <w:r>
        <w:rPr>
          <w:rFonts w:hint="eastAsia"/>
          <w:sz w:val="24"/>
          <w:szCs w:val="24"/>
        </w:rPr>
        <w:t>视频信号源，稳定性：全片图像同步性能稳定，无失步现象，CTL 同步控制信号必须连续；图像无抖动跳跃，色彩无突变，编辑点处图像稳定。信噪比：图像信噪比不低于 55dB，无明显杂波。色调：白平衡正确，无明显偏色，多机拍摄的镜头衔接处无明显色差。视频电平：视频全讯号幅度为 1Ⅴp-p，最大不超过 1.1Ⅴp-p。其中，消隐电平为 0V 时，白电平幅度 0.7Ⅴp-p，同步信号-0.3V，色同步信号幅度 0.3Vp-p(以消隐线上下对称)，全片一致。</w:t>
      </w:r>
    </w:p>
    <w:p>
      <w:pPr>
        <w:pStyle w:val="2"/>
        <w:adjustRightInd w:val="0"/>
        <w:snapToGrid w:val="0"/>
        <w:spacing w:line="440" w:lineRule="exact"/>
        <w:ind w:left="0" w:leftChars="0" w:firstLine="480"/>
        <w:rPr>
          <w:sz w:val="24"/>
          <w:szCs w:val="24"/>
        </w:rPr>
      </w:pPr>
      <w:r>
        <w:rPr>
          <w:rFonts w:hint="eastAsia"/>
          <w:sz w:val="24"/>
          <w:szCs w:val="24"/>
        </w:rPr>
        <w:t>2</w:t>
      </w:r>
      <w:r>
        <w:rPr>
          <w:sz w:val="24"/>
          <w:szCs w:val="24"/>
        </w:rPr>
        <w:t>.</w:t>
      </w:r>
      <w:r>
        <w:rPr>
          <w:rFonts w:hint="eastAsia"/>
          <w:sz w:val="24"/>
          <w:szCs w:val="24"/>
        </w:rPr>
        <w:t>音频信号源声道：中文内容音频信号记录于第 1 声道，音乐、音效、同期声记录于第 2 声道，若有其他文字解说记录于第 3 声道（如录音设备无第 3声道，则录于第 2 声道）。电平指标：-2db— -8db 声音应清晰、饱满、圆润，无失真、放音过冲、过弱。音频信噪比不低于 48db。声音和画面要求同步，无交流声或其他杂音等缺陷。伴音清晰、饱满、圆润，无失真、噪声杂音干扰、音量忽大忽小现象。解说声与现场声无明显比例失调。</w:t>
      </w:r>
    </w:p>
    <w:p>
      <w:pPr>
        <w:pStyle w:val="2"/>
        <w:adjustRightInd w:val="0"/>
        <w:snapToGrid w:val="0"/>
        <w:spacing w:line="440" w:lineRule="exact"/>
        <w:ind w:left="0" w:leftChars="0" w:firstLine="480"/>
        <w:rPr>
          <w:sz w:val="24"/>
          <w:szCs w:val="24"/>
        </w:rPr>
      </w:pPr>
      <w:r>
        <w:rPr>
          <w:rFonts w:hint="eastAsia"/>
          <w:sz w:val="24"/>
          <w:szCs w:val="24"/>
        </w:rPr>
        <w:t>3</w:t>
      </w:r>
      <w:r>
        <w:rPr>
          <w:sz w:val="24"/>
          <w:szCs w:val="24"/>
        </w:rPr>
        <w:t>.</w:t>
      </w:r>
      <w:r>
        <w:rPr>
          <w:rFonts w:hint="eastAsia"/>
          <w:sz w:val="24"/>
          <w:szCs w:val="24"/>
        </w:rPr>
        <w:t>如果课程无法在制作方提供的摄影棚完成拍摄，则由学校指定录制地点和录制时间，供应商必须服从学校安排，委派专业录制技术人员，供应商自备录制设备，按照学校录制服务的要求，每次录制必须提前十分钟到场，布置录制事宜。</w:t>
      </w:r>
    </w:p>
    <w:p>
      <w:pPr>
        <w:pStyle w:val="2"/>
        <w:adjustRightInd w:val="0"/>
        <w:snapToGrid w:val="0"/>
        <w:spacing w:line="440" w:lineRule="exact"/>
        <w:ind w:left="0" w:leftChars="0" w:firstLine="480"/>
        <w:rPr>
          <w:sz w:val="24"/>
          <w:szCs w:val="24"/>
        </w:rPr>
      </w:pPr>
      <w:r>
        <w:rPr>
          <w:rFonts w:hint="eastAsia"/>
          <w:sz w:val="24"/>
          <w:szCs w:val="24"/>
        </w:rPr>
        <w:t>（六）视频图像质量标准</w:t>
      </w:r>
    </w:p>
    <w:p>
      <w:pPr>
        <w:pStyle w:val="2"/>
        <w:adjustRightInd w:val="0"/>
        <w:snapToGrid w:val="0"/>
        <w:spacing w:line="440" w:lineRule="exact"/>
        <w:ind w:left="0" w:leftChars="0" w:firstLine="480"/>
        <w:rPr>
          <w:sz w:val="24"/>
          <w:szCs w:val="24"/>
        </w:rPr>
      </w:pPr>
      <w:r>
        <w:rPr>
          <w:rFonts w:hint="eastAsia"/>
          <w:sz w:val="24"/>
          <w:szCs w:val="24"/>
        </w:rPr>
        <w:t>1</w:t>
      </w:r>
      <w:r>
        <w:rPr>
          <w:sz w:val="24"/>
          <w:szCs w:val="24"/>
        </w:rPr>
        <w:t>.</w:t>
      </w:r>
      <w:r>
        <w:rPr>
          <w:rFonts w:hint="eastAsia"/>
          <w:sz w:val="24"/>
          <w:szCs w:val="24"/>
        </w:rPr>
        <w:t>视频编码方式 H.264.MP4(视频压缩采用 H.264 编码方式，封装格式采用 MP4)，视频分辨率提交的高清成片不低于 1920*1080 像素，同时还需分辨率不低于 720*480 像素的标清文件，视频码率 8Mbps 以上，视频帧率不低于 25fps，提供片头和片尾设计和制作；</w:t>
      </w:r>
    </w:p>
    <w:p>
      <w:pPr>
        <w:pStyle w:val="2"/>
        <w:adjustRightInd w:val="0"/>
        <w:snapToGrid w:val="0"/>
        <w:spacing w:line="440" w:lineRule="exact"/>
        <w:ind w:left="0" w:leftChars="0" w:firstLine="480"/>
        <w:rPr>
          <w:sz w:val="24"/>
          <w:szCs w:val="24"/>
        </w:rPr>
      </w:pPr>
      <w:r>
        <w:rPr>
          <w:rFonts w:hint="eastAsia"/>
          <w:sz w:val="24"/>
          <w:szCs w:val="24"/>
        </w:rPr>
        <w:t>2</w:t>
      </w:r>
      <w:r>
        <w:rPr>
          <w:sz w:val="24"/>
          <w:szCs w:val="24"/>
        </w:rPr>
        <w:t>.</w:t>
      </w:r>
      <w:r>
        <w:rPr>
          <w:rFonts w:hint="eastAsia"/>
          <w:sz w:val="24"/>
          <w:szCs w:val="24"/>
        </w:rPr>
        <w:t>视频画幅宽高比：宽高比为 16:9;在同一课程中，各讲应统一画幅的宽高比，不得混用；视频信噪比：图像信噪比不低于 55dB，无明显杂波；</w:t>
      </w:r>
    </w:p>
    <w:p>
      <w:pPr>
        <w:pStyle w:val="2"/>
        <w:adjustRightInd w:val="0"/>
        <w:snapToGrid w:val="0"/>
        <w:spacing w:line="440" w:lineRule="exact"/>
        <w:ind w:left="0" w:leftChars="0" w:firstLine="480"/>
        <w:rPr>
          <w:sz w:val="24"/>
          <w:szCs w:val="24"/>
        </w:rPr>
      </w:pPr>
      <w:r>
        <w:rPr>
          <w:sz w:val="24"/>
          <w:szCs w:val="24"/>
        </w:rPr>
        <w:t>3.</w:t>
      </w:r>
      <w:r>
        <w:rPr>
          <w:rFonts w:hint="eastAsia"/>
          <w:sz w:val="24"/>
          <w:szCs w:val="24"/>
        </w:rPr>
        <w:t>色调：白平衡正确，无明显偏色，多机拍摄的镜头衔接处无明显色差；稳定性：全片图像同步性能稳定，无失步现象，图像无过亮、过暗，人、物移动时无拖影、耀光现象，剪辑点处图像稳定，衔接自然，无空白帧，无其他图像质量问题，场景切换自然流畅，色彩无突变，画面无晃动、抖动、模糊聚焦和镜头频繁拉伸等。</w:t>
      </w:r>
    </w:p>
    <w:p>
      <w:pPr>
        <w:pStyle w:val="2"/>
        <w:adjustRightInd w:val="0"/>
        <w:snapToGrid w:val="0"/>
        <w:spacing w:line="440" w:lineRule="exact"/>
        <w:ind w:left="0" w:leftChars="0" w:firstLine="480"/>
        <w:rPr>
          <w:sz w:val="24"/>
          <w:szCs w:val="24"/>
        </w:rPr>
      </w:pPr>
      <w:r>
        <w:rPr>
          <w:sz w:val="24"/>
          <w:szCs w:val="24"/>
        </w:rPr>
        <w:t>4.</w:t>
      </w:r>
      <w:r>
        <w:rPr>
          <w:rFonts w:hint="eastAsia"/>
          <w:sz w:val="24"/>
          <w:szCs w:val="24"/>
        </w:rPr>
        <w:t>后期特效保证画面美观、色彩真实，符合摄影构图规则；视频编码、视频分辨率、视频画幅宽高比，根据不同的使用需求，可进行必要更换，具体由需求方确定。</w:t>
      </w:r>
    </w:p>
    <w:p>
      <w:pPr>
        <w:pStyle w:val="2"/>
        <w:adjustRightInd w:val="0"/>
        <w:snapToGrid w:val="0"/>
        <w:spacing w:line="440" w:lineRule="exact"/>
        <w:ind w:left="0" w:leftChars="0" w:firstLine="480"/>
        <w:rPr>
          <w:sz w:val="24"/>
          <w:szCs w:val="24"/>
        </w:rPr>
      </w:pPr>
      <w:r>
        <w:rPr>
          <w:rFonts w:hint="eastAsia"/>
          <w:sz w:val="24"/>
          <w:szCs w:val="24"/>
        </w:rPr>
        <w:t>（七）视频压缩格式及技术参数</w:t>
      </w:r>
    </w:p>
    <w:p>
      <w:pPr>
        <w:pStyle w:val="2"/>
        <w:adjustRightInd w:val="0"/>
        <w:snapToGrid w:val="0"/>
        <w:spacing w:line="440" w:lineRule="exact"/>
        <w:ind w:left="0" w:leftChars="0" w:firstLine="480"/>
        <w:rPr>
          <w:sz w:val="24"/>
          <w:szCs w:val="24"/>
        </w:rPr>
      </w:pPr>
      <w:r>
        <w:rPr>
          <w:rFonts w:hint="eastAsia"/>
          <w:sz w:val="24"/>
          <w:szCs w:val="24"/>
        </w:rPr>
        <w:t>全片图像同步性能稳定,无失步现象，图像无抖动跳跃，色彩无突变，编辑点处图像稳定。白平衡正确，无明显偏色，多机拍摄的镜头衔接处无明显色差。</w:t>
      </w:r>
    </w:p>
    <w:p>
      <w:pPr>
        <w:pStyle w:val="2"/>
        <w:adjustRightInd w:val="0"/>
        <w:snapToGrid w:val="0"/>
        <w:spacing w:line="440" w:lineRule="exact"/>
        <w:ind w:left="0" w:leftChars="0" w:firstLine="480"/>
        <w:rPr>
          <w:sz w:val="24"/>
          <w:szCs w:val="24"/>
        </w:rPr>
      </w:pPr>
      <w:r>
        <w:rPr>
          <w:rFonts w:hint="eastAsia"/>
          <w:sz w:val="24"/>
          <w:szCs w:val="24"/>
        </w:rPr>
        <w:t>1</w:t>
      </w:r>
      <w:r>
        <w:rPr>
          <w:sz w:val="24"/>
          <w:szCs w:val="24"/>
        </w:rPr>
        <w:t>.</w:t>
      </w:r>
      <w:r>
        <w:rPr>
          <w:rFonts w:hint="eastAsia"/>
          <w:sz w:val="24"/>
          <w:szCs w:val="24"/>
        </w:rPr>
        <w:t>视频压缩采用 H.264/AVC (MPEG-4 Part10)编码、使用二次编码、不包含字幕的 MP4 格式。</w:t>
      </w:r>
    </w:p>
    <w:p>
      <w:pPr>
        <w:pStyle w:val="2"/>
        <w:adjustRightInd w:val="0"/>
        <w:snapToGrid w:val="0"/>
        <w:spacing w:line="440" w:lineRule="exact"/>
        <w:ind w:left="0" w:leftChars="0" w:firstLine="480"/>
        <w:rPr>
          <w:sz w:val="24"/>
          <w:szCs w:val="24"/>
        </w:rPr>
      </w:pPr>
      <w:r>
        <w:rPr>
          <w:rFonts w:hint="eastAsia"/>
          <w:sz w:val="24"/>
          <w:szCs w:val="24"/>
        </w:rPr>
        <w:t>2</w:t>
      </w:r>
      <w:r>
        <w:rPr>
          <w:sz w:val="24"/>
          <w:szCs w:val="24"/>
        </w:rPr>
        <w:t>.</w:t>
      </w:r>
      <w:r>
        <w:rPr>
          <w:rFonts w:hint="eastAsia"/>
          <w:sz w:val="24"/>
          <w:szCs w:val="24"/>
        </w:rPr>
        <w:t>视频码流率:动态码流的最高码率不高于 4M，最低码率不得低于 1.5M；视频分辨率:采用高清 16:9 拍摄时，设定为 1920×1080；视频画幅宽高比分辨率设定为 1920×1080,选定 16:9；视频帧率为 25 帧/秒。扫描方式采用逐行扫描。</w:t>
      </w:r>
    </w:p>
    <w:p>
      <w:pPr>
        <w:pStyle w:val="2"/>
        <w:adjustRightInd w:val="0"/>
        <w:snapToGrid w:val="0"/>
        <w:spacing w:line="440" w:lineRule="exact"/>
        <w:ind w:left="0" w:leftChars="0" w:firstLine="480"/>
        <w:rPr>
          <w:sz w:val="24"/>
          <w:szCs w:val="24"/>
        </w:rPr>
      </w:pPr>
      <w:r>
        <w:rPr>
          <w:rFonts w:hint="eastAsia"/>
          <w:sz w:val="24"/>
          <w:szCs w:val="24"/>
        </w:rPr>
        <w:t>（八）音频压缩格式及技术参数</w:t>
      </w:r>
    </w:p>
    <w:p>
      <w:pPr>
        <w:pStyle w:val="2"/>
        <w:adjustRightInd w:val="0"/>
        <w:snapToGrid w:val="0"/>
        <w:spacing w:line="440" w:lineRule="exact"/>
        <w:ind w:left="0" w:leftChars="0" w:firstLine="480"/>
        <w:rPr>
          <w:sz w:val="24"/>
          <w:szCs w:val="24"/>
        </w:rPr>
      </w:pPr>
      <w:r>
        <w:rPr>
          <w:rFonts w:hint="eastAsia"/>
          <w:sz w:val="24"/>
          <w:szCs w:val="24"/>
        </w:rPr>
        <w:t>1</w:t>
      </w:r>
      <w:r>
        <w:rPr>
          <w:sz w:val="24"/>
          <w:szCs w:val="24"/>
        </w:rPr>
        <w:t>.</w:t>
      </w:r>
      <w:r>
        <w:rPr>
          <w:rFonts w:hint="eastAsia"/>
          <w:sz w:val="24"/>
          <w:szCs w:val="24"/>
        </w:rPr>
        <w:t>音频格式采用线性高级音频编码格式，Linear AAC (Advanced AudioCoding)；音频采样率不低于 48KHz；音频码率不低于 1.4Mbps；音频电平：-6db——0db；音频信噪比大于 50db。</w:t>
      </w:r>
    </w:p>
    <w:p>
      <w:pPr>
        <w:pStyle w:val="2"/>
        <w:adjustRightInd w:val="0"/>
        <w:snapToGrid w:val="0"/>
        <w:spacing w:line="440" w:lineRule="exact"/>
        <w:ind w:left="0" w:leftChars="0" w:firstLine="480"/>
        <w:rPr>
          <w:sz w:val="24"/>
          <w:szCs w:val="24"/>
        </w:rPr>
      </w:pPr>
      <w:r>
        <w:rPr>
          <w:sz w:val="24"/>
          <w:szCs w:val="24"/>
        </w:rPr>
        <w:t>2.</w:t>
      </w:r>
      <w:r>
        <w:rPr>
          <w:rFonts w:hint="eastAsia"/>
          <w:sz w:val="24"/>
          <w:szCs w:val="24"/>
        </w:rPr>
        <w:t>至少是双声道，做混音处理；声音效果，声音和画面同步，无明显失真、无明显噪音、回声或其它杂音，无音量忽大忽小现象；伴音清晰、饱满、圆润，解说声与现场声无明显比例失调，解说声与背景音乐无明显比例失调，无其他声音质量问题。</w:t>
      </w:r>
    </w:p>
    <w:p>
      <w:pPr>
        <w:pStyle w:val="2"/>
        <w:adjustRightInd w:val="0"/>
        <w:snapToGrid w:val="0"/>
        <w:spacing w:line="440" w:lineRule="exact"/>
        <w:ind w:left="0" w:leftChars="0" w:firstLine="480"/>
        <w:rPr>
          <w:sz w:val="24"/>
          <w:szCs w:val="24"/>
        </w:rPr>
      </w:pPr>
      <w:r>
        <w:rPr>
          <w:rFonts w:hint="eastAsia"/>
          <w:sz w:val="24"/>
          <w:szCs w:val="24"/>
        </w:rPr>
        <w:t>（九）外挂字幕文件</w:t>
      </w:r>
    </w:p>
    <w:p>
      <w:pPr>
        <w:pStyle w:val="2"/>
        <w:adjustRightInd w:val="0"/>
        <w:snapToGrid w:val="0"/>
        <w:spacing w:line="440" w:lineRule="exact"/>
        <w:ind w:left="0" w:leftChars="0" w:firstLine="480"/>
        <w:rPr>
          <w:sz w:val="24"/>
          <w:szCs w:val="24"/>
        </w:rPr>
      </w:pPr>
      <w:r>
        <w:rPr>
          <w:rFonts w:hint="eastAsia"/>
          <w:sz w:val="24"/>
          <w:szCs w:val="24"/>
        </w:rPr>
        <w:t>对老师讲课的内容进行全片外挂唱词的添加，生成外挂唱词文件。</w:t>
      </w:r>
    </w:p>
    <w:p>
      <w:pPr>
        <w:pStyle w:val="2"/>
        <w:adjustRightInd w:val="0"/>
        <w:snapToGrid w:val="0"/>
        <w:spacing w:line="440" w:lineRule="exact"/>
        <w:ind w:left="0" w:leftChars="0" w:firstLine="480"/>
        <w:rPr>
          <w:sz w:val="24"/>
          <w:szCs w:val="24"/>
        </w:rPr>
      </w:pPr>
      <w:r>
        <w:rPr>
          <w:rFonts w:hint="eastAsia"/>
          <w:sz w:val="24"/>
          <w:szCs w:val="24"/>
        </w:rPr>
        <w:t>1</w:t>
      </w:r>
      <w:r>
        <w:rPr>
          <w:sz w:val="24"/>
          <w:szCs w:val="24"/>
        </w:rPr>
        <w:t>.</w:t>
      </w:r>
      <w:r>
        <w:rPr>
          <w:rFonts w:hint="eastAsia"/>
          <w:sz w:val="24"/>
          <w:szCs w:val="24"/>
        </w:rPr>
        <w:t>字幕要使用符合国家标准的规范字，不出现繁体字、异体字（国家规定的除外）、错别字。字幕无口述性逻辑错误，单行显示，每行不超过 15 字，但不能简单按照字数断句，以内容为断句依据。</w:t>
      </w:r>
    </w:p>
    <w:p>
      <w:pPr>
        <w:pStyle w:val="2"/>
        <w:adjustRightInd w:val="0"/>
        <w:snapToGrid w:val="0"/>
        <w:spacing w:line="440" w:lineRule="exact"/>
        <w:ind w:left="0" w:leftChars="0" w:firstLine="480"/>
        <w:rPr>
          <w:sz w:val="24"/>
          <w:szCs w:val="24"/>
        </w:rPr>
      </w:pPr>
      <w:r>
        <w:rPr>
          <w:rFonts w:hint="eastAsia"/>
          <w:sz w:val="24"/>
          <w:szCs w:val="24"/>
        </w:rPr>
        <w:t>2</w:t>
      </w:r>
      <w:r>
        <w:rPr>
          <w:sz w:val="24"/>
          <w:szCs w:val="24"/>
        </w:rPr>
        <w:t>.</w:t>
      </w:r>
      <w:r>
        <w:rPr>
          <w:rFonts w:hint="eastAsia"/>
          <w:sz w:val="24"/>
          <w:szCs w:val="24"/>
        </w:rPr>
        <w:t>字幕的字体、大小、色彩搭配、摆放位置、停留时间、出入屏方式力求与其他要素〔画面、解说词、音乐） 配合适当，不破坏原有画面。字幕采用 UTF-8 编码，时间轴准确，字幕出现时间与视频声音一致，音频对轨误差不超过 500 毫秒。</w:t>
      </w:r>
    </w:p>
    <w:p>
      <w:pPr>
        <w:pStyle w:val="2"/>
        <w:adjustRightInd w:val="0"/>
        <w:snapToGrid w:val="0"/>
        <w:spacing w:line="440" w:lineRule="exact"/>
        <w:ind w:left="0" w:leftChars="0" w:firstLine="480"/>
        <w:rPr>
          <w:sz w:val="24"/>
          <w:szCs w:val="24"/>
        </w:rPr>
      </w:pPr>
      <w:r>
        <w:rPr>
          <w:rFonts w:hint="eastAsia"/>
          <w:sz w:val="24"/>
          <w:szCs w:val="24"/>
        </w:rPr>
        <w:t>3</w:t>
      </w:r>
      <w:r>
        <w:rPr>
          <w:sz w:val="24"/>
          <w:szCs w:val="24"/>
        </w:rPr>
        <w:t>.</w:t>
      </w:r>
      <w:r>
        <w:rPr>
          <w:rFonts w:hint="eastAsia"/>
          <w:sz w:val="24"/>
          <w:szCs w:val="24"/>
        </w:rPr>
        <w:t>字幕不能固定加在视频上，必须以单独的 SRT 文件格式提供。成片需生成无字幕版本和中英文字幕版本各一个。</w:t>
      </w:r>
    </w:p>
    <w:p>
      <w:pPr>
        <w:pStyle w:val="2"/>
        <w:adjustRightInd w:val="0"/>
        <w:snapToGrid w:val="0"/>
        <w:spacing w:line="440" w:lineRule="exact"/>
        <w:ind w:left="0" w:leftChars="0" w:firstLine="480"/>
        <w:rPr>
          <w:sz w:val="24"/>
          <w:szCs w:val="24"/>
        </w:rPr>
      </w:pPr>
      <w:r>
        <w:rPr>
          <w:rFonts w:hint="eastAsia"/>
          <w:sz w:val="24"/>
          <w:szCs w:val="24"/>
        </w:rPr>
        <w:t>（十）拍摄机位场景标准</w:t>
      </w:r>
    </w:p>
    <w:p>
      <w:pPr>
        <w:pStyle w:val="2"/>
        <w:adjustRightInd w:val="0"/>
        <w:snapToGrid w:val="0"/>
        <w:spacing w:line="440" w:lineRule="exact"/>
        <w:ind w:left="0" w:leftChars="0" w:firstLine="480"/>
        <w:rPr>
          <w:sz w:val="24"/>
          <w:szCs w:val="24"/>
        </w:rPr>
      </w:pPr>
      <w:r>
        <w:rPr>
          <w:rFonts w:hint="eastAsia"/>
          <w:sz w:val="24"/>
          <w:szCs w:val="24"/>
        </w:rPr>
        <w:t>1</w:t>
      </w:r>
      <w:r>
        <w:rPr>
          <w:sz w:val="24"/>
          <w:szCs w:val="24"/>
        </w:rPr>
        <w:t>.</w:t>
      </w:r>
      <w:r>
        <w:rPr>
          <w:rFonts w:hint="eastAsia"/>
          <w:sz w:val="24"/>
          <w:szCs w:val="24"/>
        </w:rPr>
        <w:t>在线课程拍摄，应使用至少 2 机位多镜头同时拍摄，其中老师特写、全景机位各一台；</w:t>
      </w:r>
    </w:p>
    <w:p>
      <w:pPr>
        <w:pStyle w:val="2"/>
        <w:adjustRightInd w:val="0"/>
        <w:snapToGrid w:val="0"/>
        <w:spacing w:line="440" w:lineRule="exact"/>
        <w:ind w:left="0" w:leftChars="0" w:firstLine="480"/>
        <w:rPr>
          <w:sz w:val="24"/>
          <w:szCs w:val="24"/>
        </w:rPr>
      </w:pPr>
      <w:r>
        <w:rPr>
          <w:rFonts w:hint="eastAsia"/>
          <w:sz w:val="24"/>
          <w:szCs w:val="24"/>
        </w:rPr>
        <w:t>2</w:t>
      </w:r>
      <w:r>
        <w:rPr>
          <w:sz w:val="24"/>
          <w:szCs w:val="24"/>
        </w:rPr>
        <w:t>.</w:t>
      </w:r>
      <w:r>
        <w:rPr>
          <w:rFonts w:hint="eastAsia"/>
          <w:sz w:val="24"/>
          <w:szCs w:val="24"/>
        </w:rPr>
        <w:t>拍摄场景具备人物特写、板书特写、人物中景、全景扫描等场景功能。</w:t>
      </w:r>
    </w:p>
    <w:p>
      <w:pPr>
        <w:pStyle w:val="2"/>
        <w:adjustRightInd w:val="0"/>
        <w:snapToGrid w:val="0"/>
        <w:spacing w:line="440" w:lineRule="exact"/>
        <w:ind w:left="0" w:leftChars="0" w:firstLine="480"/>
        <w:rPr>
          <w:sz w:val="24"/>
          <w:szCs w:val="24"/>
        </w:rPr>
      </w:pPr>
      <w:r>
        <w:rPr>
          <w:rFonts w:hint="eastAsia"/>
          <w:sz w:val="24"/>
          <w:szCs w:val="24"/>
        </w:rPr>
        <w:t>（十一）视频剪辑与后期包装</w:t>
      </w:r>
    </w:p>
    <w:p>
      <w:pPr>
        <w:pStyle w:val="2"/>
        <w:adjustRightInd w:val="0"/>
        <w:snapToGrid w:val="0"/>
        <w:spacing w:line="440" w:lineRule="exact"/>
        <w:ind w:left="0" w:leftChars="0" w:firstLine="480"/>
        <w:rPr>
          <w:sz w:val="24"/>
          <w:szCs w:val="24"/>
        </w:rPr>
      </w:pPr>
      <w:r>
        <w:rPr>
          <w:rFonts w:hint="eastAsia"/>
          <w:sz w:val="24"/>
          <w:szCs w:val="24"/>
        </w:rPr>
        <w:t>1</w:t>
      </w:r>
      <w:r>
        <w:rPr>
          <w:sz w:val="24"/>
          <w:szCs w:val="24"/>
        </w:rPr>
        <w:t>.</w:t>
      </w:r>
      <w:r>
        <w:rPr>
          <w:rFonts w:hint="eastAsia"/>
          <w:sz w:val="24"/>
          <w:szCs w:val="24"/>
        </w:rPr>
        <w:t>剪辑流畅，无生硬镜头，无空白帧，转场特效明确、自然。视频压缩格式及技术参数：视频压缩采用 H.264/AVC(MPEG-4 Part10)编码、使用二次编码、不包含字幕的 MP4 格式。</w:t>
      </w:r>
    </w:p>
    <w:p>
      <w:pPr>
        <w:pStyle w:val="2"/>
        <w:adjustRightInd w:val="0"/>
        <w:snapToGrid w:val="0"/>
        <w:spacing w:line="440" w:lineRule="exact"/>
        <w:ind w:left="0" w:leftChars="0" w:firstLine="480"/>
        <w:rPr>
          <w:sz w:val="24"/>
          <w:szCs w:val="24"/>
        </w:rPr>
      </w:pPr>
      <w:r>
        <w:rPr>
          <w:rFonts w:hint="eastAsia"/>
          <w:sz w:val="24"/>
          <w:szCs w:val="24"/>
        </w:rPr>
        <w:t>2</w:t>
      </w:r>
      <w:r>
        <w:rPr>
          <w:sz w:val="24"/>
          <w:szCs w:val="24"/>
        </w:rPr>
        <w:t>.</w:t>
      </w:r>
      <w:r>
        <w:rPr>
          <w:rFonts w:hint="eastAsia"/>
          <w:sz w:val="24"/>
          <w:szCs w:val="24"/>
        </w:rPr>
        <w:t>视频码流率：动态码流的最高码率不高于 2500Kbps，最低码率不得低于 1024Kbps。视频分辨率：前期采用高清 16:9 拍摄时，设定为 1024×576。在同一课程中，各讲的视频分辨率统一，统一高清。视频画幅宽高比：分辨率设定为 1024×576 的，选定为 16:9。在同一课程中，各讲画幅的宽高比统一。视频帧率为 25 帧/秒。扫描方式采用逐行扫描。</w:t>
      </w:r>
    </w:p>
    <w:p>
      <w:pPr>
        <w:pStyle w:val="2"/>
        <w:adjustRightInd w:val="0"/>
        <w:snapToGrid w:val="0"/>
        <w:spacing w:line="440" w:lineRule="exact"/>
        <w:ind w:left="0" w:leftChars="0" w:firstLine="480"/>
        <w:rPr>
          <w:sz w:val="24"/>
          <w:szCs w:val="24"/>
        </w:rPr>
      </w:pPr>
      <w:r>
        <w:rPr>
          <w:sz w:val="24"/>
          <w:szCs w:val="24"/>
        </w:rPr>
        <w:t>3.</w:t>
      </w:r>
      <w:r>
        <w:rPr>
          <w:rFonts w:hint="eastAsia"/>
          <w:sz w:val="24"/>
          <w:szCs w:val="24"/>
        </w:rPr>
        <w:t>音频压缩格式及技术参数：</w:t>
      </w:r>
    </w:p>
    <w:p>
      <w:pPr>
        <w:pStyle w:val="2"/>
        <w:adjustRightInd w:val="0"/>
        <w:snapToGrid w:val="0"/>
        <w:spacing w:line="440" w:lineRule="exact"/>
        <w:ind w:left="0" w:leftChars="0" w:firstLine="480"/>
        <w:rPr>
          <w:sz w:val="24"/>
          <w:szCs w:val="24"/>
        </w:rPr>
      </w:pPr>
      <w:r>
        <w:rPr>
          <w:rFonts w:hint="eastAsia"/>
          <w:sz w:val="24"/>
          <w:szCs w:val="24"/>
        </w:rPr>
        <w:t>音频压缩采用 AAC(MPEG4 Part3)格式。采样率 48KHz。音频码流率128Kbps(恒定)。必须是双声道及以上，须做混音处理。期编辑制作需按照校方要求进行，并积极补充拍摄镜头，确保制作效果。</w:t>
      </w:r>
    </w:p>
    <w:p>
      <w:pPr>
        <w:pStyle w:val="2"/>
        <w:adjustRightInd w:val="0"/>
        <w:snapToGrid w:val="0"/>
        <w:spacing w:line="440" w:lineRule="exact"/>
        <w:ind w:left="0" w:leftChars="0" w:firstLine="480"/>
        <w:rPr>
          <w:sz w:val="24"/>
          <w:szCs w:val="24"/>
        </w:rPr>
      </w:pPr>
      <w:r>
        <w:rPr>
          <w:sz w:val="24"/>
          <w:szCs w:val="24"/>
        </w:rPr>
        <w:t>4.</w:t>
      </w:r>
      <w:r>
        <w:rPr>
          <w:rFonts w:hint="eastAsia"/>
          <w:sz w:val="24"/>
          <w:szCs w:val="24"/>
        </w:rPr>
        <w:t>在课程制作过程中，要求采集授课教师的电脑端的各种应用程序的操作过程；课程制作设备能够单独采集 PPT，并与摄像机等信号进行导播切换。</w:t>
      </w:r>
    </w:p>
    <w:p>
      <w:pPr>
        <w:pStyle w:val="2"/>
        <w:adjustRightInd w:val="0"/>
        <w:snapToGrid w:val="0"/>
        <w:spacing w:line="440" w:lineRule="exact"/>
        <w:ind w:left="0" w:leftChars="0" w:firstLine="480"/>
        <w:rPr>
          <w:sz w:val="24"/>
          <w:szCs w:val="24"/>
        </w:rPr>
      </w:pPr>
      <w:r>
        <w:rPr>
          <w:sz w:val="24"/>
          <w:szCs w:val="24"/>
        </w:rPr>
        <w:t>5.</w:t>
      </w:r>
      <w:r>
        <w:rPr>
          <w:rFonts w:hint="eastAsia"/>
          <w:sz w:val="24"/>
          <w:szCs w:val="24"/>
        </w:rPr>
        <w:t>为实现情景教学，要求还原现场环境，例如：手机拍摄或其他摄像设备拍摄的 360 度全景照片，导入到课程制作设备中，可以做三维场景使用，主讲人通过抠像技术仿佛置身在现场，并且可以实现摄像机在场景中的推拉摇移、360度选装。</w:t>
      </w:r>
    </w:p>
    <w:p>
      <w:pPr>
        <w:pStyle w:val="2"/>
        <w:adjustRightInd w:val="0"/>
        <w:snapToGrid w:val="0"/>
        <w:spacing w:line="440" w:lineRule="exact"/>
        <w:ind w:left="0" w:leftChars="0" w:firstLine="480"/>
        <w:rPr>
          <w:sz w:val="24"/>
          <w:szCs w:val="24"/>
        </w:rPr>
      </w:pPr>
      <w:r>
        <w:rPr>
          <w:sz w:val="24"/>
          <w:szCs w:val="24"/>
        </w:rPr>
        <w:t>6.</w:t>
      </w:r>
      <w:r>
        <w:rPr>
          <w:rFonts w:hint="eastAsia"/>
          <w:sz w:val="24"/>
          <w:szCs w:val="24"/>
        </w:rPr>
        <w:t>为实现交互课件制作，要求自动人机交互，自动调入三维动画元素、并根据触发不同热点实现三维动画元素的入场、出场等操作。要求课程制作设备支持多通道三维虚拟抠像功能，对同一个老师叠加三个不同的三维虚拟场景，同时三个不同的三维场景可以随时切换，并直播给大屏；且每个三维场景可以实现推拉摇移功能。</w:t>
      </w:r>
    </w:p>
    <w:p>
      <w:pPr>
        <w:pStyle w:val="2"/>
        <w:adjustRightInd w:val="0"/>
        <w:snapToGrid w:val="0"/>
        <w:spacing w:line="440" w:lineRule="exact"/>
        <w:ind w:left="0" w:leftChars="0" w:firstLine="480"/>
        <w:rPr>
          <w:sz w:val="24"/>
          <w:szCs w:val="24"/>
        </w:rPr>
      </w:pPr>
      <w:r>
        <w:rPr>
          <w:sz w:val="24"/>
          <w:szCs w:val="24"/>
        </w:rPr>
        <w:t>7.</w:t>
      </w:r>
      <w:r>
        <w:rPr>
          <w:rFonts w:hint="eastAsia"/>
          <w:sz w:val="24"/>
          <w:szCs w:val="24"/>
        </w:rPr>
        <w:t>具备专业 HD CG/字幕和实时 HD 编辑系统、提供≥200 种字幕模板供现场字幕使用，支持字幕现场实时修改实时上屏功能。拍摄过程中支持移动终端屏幕如 PAD、iPhone 等信号的接入。可以自动控制预置好的素材；热点：每路输入≥8 个自由配置的交互式热点用于宏控制方便针对不同的老师课程进行设置。</w:t>
      </w:r>
    </w:p>
    <w:p>
      <w:pPr>
        <w:pStyle w:val="2"/>
        <w:adjustRightInd w:val="0"/>
        <w:snapToGrid w:val="0"/>
        <w:spacing w:line="440" w:lineRule="exact"/>
        <w:ind w:left="0" w:leftChars="0" w:firstLine="480"/>
        <w:rPr>
          <w:sz w:val="24"/>
          <w:szCs w:val="24"/>
        </w:rPr>
      </w:pPr>
      <w:r>
        <w:rPr>
          <w:sz w:val="24"/>
          <w:szCs w:val="24"/>
        </w:rPr>
        <w:t>8.</w:t>
      </w:r>
      <w:r>
        <w:rPr>
          <w:rFonts w:hint="eastAsia"/>
          <w:sz w:val="24"/>
          <w:szCs w:val="24"/>
        </w:rPr>
        <w:t>根据要求把成品视频转换成高清、标清、网络播放等 AVI、MPEG、MP4、MOV、FLV 格式等。特效包装师使用但不限于 AE、Photoshop、3DMax、Maya 等软件进行视频包装，每门课程的包装数量不低于课程总时长的 70%。</w:t>
      </w:r>
    </w:p>
    <w:p>
      <w:pPr>
        <w:spacing w:line="560" w:lineRule="exact"/>
        <w:ind w:firstLine="480" w:firstLineChars="200"/>
        <w:rPr>
          <w:sz w:val="24"/>
          <w:szCs w:val="24"/>
        </w:rPr>
      </w:pPr>
      <w:r>
        <w:rPr>
          <w:rFonts w:hint="eastAsia"/>
          <w:sz w:val="24"/>
          <w:szCs w:val="24"/>
        </w:rPr>
        <w:t>（十二）课程运行推广</w:t>
      </w:r>
    </w:p>
    <w:p>
      <w:pPr>
        <w:widowControl/>
        <w:tabs>
          <w:tab w:val="left" w:pos="4740"/>
        </w:tabs>
        <w:spacing w:line="560" w:lineRule="exact"/>
        <w:ind w:firstLine="480" w:firstLineChars="200"/>
        <w:jc w:val="left"/>
        <w:rPr>
          <w:sz w:val="24"/>
          <w:szCs w:val="24"/>
        </w:rPr>
      </w:pPr>
      <w:r>
        <w:rPr>
          <w:rFonts w:hint="eastAsia"/>
          <w:sz w:val="24"/>
          <w:szCs w:val="24"/>
        </w:rPr>
        <w:t>建成的课程不仅要满足学校教学使用需求，还要具有校内翻转课堂的运行以及在线开放课程运行的要求，具体满足以下要求：</w:t>
      </w:r>
    </w:p>
    <w:p>
      <w:pPr>
        <w:pStyle w:val="2"/>
        <w:ind w:left="0" w:leftChars="0" w:firstLine="480"/>
        <w:rPr>
          <w:sz w:val="24"/>
          <w:szCs w:val="24"/>
        </w:rPr>
      </w:pPr>
      <w:r>
        <w:rPr>
          <w:rFonts w:hint="eastAsia"/>
          <w:sz w:val="24"/>
          <w:szCs w:val="24"/>
        </w:rPr>
        <w:t>▲1</w:t>
      </w:r>
      <w:r>
        <w:rPr>
          <w:sz w:val="24"/>
          <w:szCs w:val="24"/>
        </w:rPr>
        <w:t>.</w:t>
      </w:r>
      <w:r>
        <w:rPr>
          <w:rFonts w:hint="eastAsia"/>
          <w:sz w:val="24"/>
          <w:szCs w:val="24"/>
        </w:rPr>
        <w:t>呈现方式要符合和满足移动学习和教师混合式教学的需求，课程能够完整上线运行，支持开展在线学习与课堂教学相结合、翻转课堂等多种方式的课堂教学模式。</w:t>
      </w:r>
    </w:p>
    <w:p>
      <w:pPr>
        <w:pStyle w:val="2"/>
        <w:ind w:left="0" w:leftChars="0" w:firstLine="480"/>
        <w:rPr>
          <w:sz w:val="24"/>
          <w:szCs w:val="24"/>
        </w:rPr>
      </w:pPr>
      <w:r>
        <w:rPr>
          <w:rFonts w:hint="eastAsia"/>
          <w:sz w:val="24"/>
          <w:szCs w:val="24"/>
        </w:rPr>
        <w:t>▲2</w:t>
      </w:r>
      <w:r>
        <w:rPr>
          <w:sz w:val="24"/>
          <w:szCs w:val="24"/>
        </w:rPr>
        <w:t>.</w:t>
      </w:r>
      <w:r>
        <w:rPr>
          <w:rFonts w:hint="eastAsia"/>
          <w:sz w:val="24"/>
          <w:szCs w:val="24"/>
        </w:rPr>
        <w:t>可在课程视频中随意插入随堂测验，方便学生即学即练。插入的测验题包含单选题、多选题、对错题或填空等形式。并能够对学生回答情况进行及时统计，以便于老师随时考查学生对教学内容的理解和掌握程度。（需提供功能截图，并加盖供应商公章）</w:t>
      </w:r>
    </w:p>
    <w:p>
      <w:pPr>
        <w:pStyle w:val="2"/>
        <w:ind w:left="0" w:leftChars="0" w:firstLine="480"/>
        <w:rPr>
          <w:sz w:val="24"/>
          <w:szCs w:val="24"/>
        </w:rPr>
      </w:pPr>
      <w:r>
        <w:rPr>
          <w:rFonts w:hint="eastAsia"/>
          <w:sz w:val="24"/>
          <w:szCs w:val="24"/>
        </w:rPr>
        <w:t>3</w:t>
      </w:r>
      <w:r>
        <w:rPr>
          <w:sz w:val="24"/>
          <w:szCs w:val="24"/>
        </w:rPr>
        <w:t>.</w:t>
      </w:r>
      <w:r>
        <w:rPr>
          <w:rFonts w:hint="eastAsia"/>
          <w:sz w:val="24"/>
          <w:szCs w:val="24"/>
        </w:rPr>
        <w:t>课程考核分为平时考核和课程考试两个部分。其中平时考核主要考查学生在线学习情况，能够对学生在线学习情况进行统计和分析；课程考试则是检测学生课程阶段性、整体学习情况的正式测验题，可以包括客观题和主观题，数量不限，并可进行成绩统计与分析。考试题目一经发布将不允许修改，发布前需确保考试内容核查无误。</w:t>
      </w:r>
    </w:p>
    <w:p>
      <w:pPr>
        <w:pStyle w:val="2"/>
        <w:ind w:left="0" w:leftChars="0" w:firstLine="480"/>
        <w:rPr>
          <w:sz w:val="24"/>
          <w:szCs w:val="24"/>
        </w:rPr>
      </w:pPr>
      <w:r>
        <w:rPr>
          <w:rFonts w:hint="eastAsia"/>
          <w:sz w:val="24"/>
          <w:szCs w:val="24"/>
        </w:rPr>
        <w:t>▲4</w:t>
      </w:r>
      <w:r>
        <w:rPr>
          <w:sz w:val="24"/>
          <w:szCs w:val="24"/>
        </w:rPr>
        <w:t>.</w:t>
      </w:r>
      <w:r>
        <w:rPr>
          <w:rFonts w:hint="eastAsia"/>
          <w:sz w:val="24"/>
          <w:szCs w:val="24"/>
        </w:rPr>
        <w:t>课程资源支持添加到校内教师教学空间：教师用户可将校内资源库内资源添加至慕课课程中（共享资料），用以建课使用。资源直接对接到教师建课中，或者直接可以课堂调取资源，教师建课时可直接使用资源库资源，使资源不再孤立。（需提供功能截图，并加盖供应商公章）</w:t>
      </w:r>
    </w:p>
    <w:p>
      <w:pPr>
        <w:pStyle w:val="2"/>
        <w:ind w:left="0" w:leftChars="0" w:firstLine="480"/>
        <w:rPr>
          <w:sz w:val="24"/>
          <w:szCs w:val="24"/>
        </w:rPr>
      </w:pPr>
      <w:r>
        <w:rPr>
          <w:rFonts w:hint="eastAsia"/>
          <w:sz w:val="24"/>
          <w:szCs w:val="24"/>
        </w:rPr>
        <w:t>▲5</w:t>
      </w:r>
      <w:r>
        <w:rPr>
          <w:sz w:val="24"/>
          <w:szCs w:val="24"/>
        </w:rPr>
        <w:t>.</w:t>
      </w:r>
      <w:r>
        <w:rPr>
          <w:rFonts w:hint="eastAsia"/>
          <w:sz w:val="24"/>
          <w:szCs w:val="24"/>
        </w:rPr>
        <w:t>教师可通过平台上传课程所需要的教材、参考书、参考文献、视频等资源。课程的内容建设，参考资料，课程介绍等任何位置都可以使用平台提供的海量图书。（需提供功能截图，并加盖供应商公章）</w:t>
      </w:r>
    </w:p>
    <w:p>
      <w:pPr>
        <w:pStyle w:val="2"/>
        <w:ind w:left="0" w:leftChars="0" w:firstLine="480"/>
        <w:rPr>
          <w:sz w:val="24"/>
          <w:szCs w:val="24"/>
        </w:rPr>
      </w:pPr>
      <w:r>
        <w:rPr>
          <w:rFonts w:hint="eastAsia"/>
          <w:sz w:val="24"/>
          <w:szCs w:val="24"/>
        </w:rPr>
        <w:t>▲6</w:t>
      </w:r>
      <w:r>
        <w:rPr>
          <w:sz w:val="24"/>
          <w:szCs w:val="24"/>
        </w:rPr>
        <w:t>.</w:t>
      </w:r>
      <w:r>
        <w:rPr>
          <w:rFonts w:hint="eastAsia"/>
          <w:sz w:val="24"/>
          <w:szCs w:val="24"/>
        </w:rPr>
        <w:t>建成课程的颗粒资源如图片、视频的资源支持一键式搜索插入，插入的资源可以直接点击在线播放查阅，也支持自己上传资料，支持无缝对接引用我校图书馆发现资源系统和联盟共享资源。（需提供功能截图，并加盖供应商公章）</w:t>
      </w:r>
    </w:p>
    <w:p>
      <w:pPr>
        <w:pStyle w:val="2"/>
        <w:ind w:left="0" w:leftChars="0" w:firstLine="480"/>
        <w:rPr>
          <w:sz w:val="24"/>
          <w:szCs w:val="24"/>
        </w:rPr>
      </w:pPr>
      <w:r>
        <w:rPr>
          <w:rFonts w:hint="eastAsia"/>
          <w:sz w:val="24"/>
          <w:szCs w:val="24"/>
        </w:rPr>
        <w:t>7</w:t>
      </w:r>
      <w:r>
        <w:rPr>
          <w:sz w:val="24"/>
          <w:szCs w:val="24"/>
        </w:rPr>
        <w:t>.</w:t>
      </w:r>
      <w:r>
        <w:rPr>
          <w:rFonts w:hint="eastAsia"/>
          <w:sz w:val="24"/>
          <w:szCs w:val="24"/>
        </w:rPr>
        <w:t>支持移动学习</w:t>
      </w:r>
    </w:p>
    <w:p>
      <w:pPr>
        <w:pStyle w:val="2"/>
        <w:ind w:left="0" w:leftChars="0" w:firstLine="480"/>
        <w:rPr>
          <w:sz w:val="24"/>
          <w:szCs w:val="24"/>
        </w:rPr>
      </w:pPr>
      <w:r>
        <w:rPr>
          <w:rFonts w:hint="eastAsia"/>
          <w:sz w:val="24"/>
          <w:szCs w:val="24"/>
        </w:rPr>
        <w:t>①课程建成后可支持移动学习，能够支持 iOS 和 Android 两大在主流操作系统，同时满足手机、平板电脑等智能移动终端使用。移动学习端需具备独立APP，能够实现互动、浏览、社交、学分管理等功能。</w:t>
      </w:r>
    </w:p>
    <w:p>
      <w:pPr>
        <w:pStyle w:val="2"/>
        <w:ind w:left="0" w:leftChars="0" w:firstLine="480"/>
        <w:rPr>
          <w:sz w:val="24"/>
          <w:szCs w:val="24"/>
        </w:rPr>
      </w:pPr>
      <w:r>
        <w:rPr>
          <w:rFonts w:hint="eastAsia"/>
          <w:sz w:val="24"/>
          <w:szCs w:val="24"/>
        </w:rPr>
        <w:t>▲②支持课堂教学活动中的无线投屏和课程互动：如课堂签到、投屏、抢答、选人、测验、投票、多屏互动、讨论、课堂报告等功能。（需提供功能截图，并加盖供应商公章）</w:t>
      </w:r>
    </w:p>
    <w:p>
      <w:pPr>
        <w:pStyle w:val="2"/>
        <w:ind w:left="0" w:leftChars="0" w:firstLine="480"/>
        <w:rPr>
          <w:sz w:val="24"/>
          <w:szCs w:val="24"/>
        </w:rPr>
      </w:pPr>
      <w:r>
        <w:rPr>
          <w:rFonts w:hint="eastAsia"/>
          <w:sz w:val="24"/>
          <w:szCs w:val="24"/>
        </w:rPr>
        <w:t>▲③具备在线学习管理模块，支持发布通知公告，并可以跟踪记录并统计基于每个学生的学习进度、课程登录次数、学习材料浏览和下载次数、作业和测试完成情况、在线时长、视频观看的遍数、参加答疑讨论的情况等多项学习考核指标。方便教师进行人员添加删减及教学内容增减调整。（需提供功能截图，并加盖供应商公章）</w:t>
      </w:r>
    </w:p>
    <w:p>
      <w:pPr>
        <w:pStyle w:val="2"/>
        <w:ind w:left="0" w:leftChars="0" w:firstLine="480"/>
        <w:rPr>
          <w:sz w:val="24"/>
          <w:szCs w:val="24"/>
        </w:rPr>
      </w:pPr>
      <w:r>
        <w:rPr>
          <w:rFonts w:hint="eastAsia"/>
          <w:sz w:val="24"/>
          <w:szCs w:val="24"/>
        </w:rPr>
        <w:t>④具备学生学习工具模块，包括书签、学生学习记录、网上搜索、学生作品展示等工具，方便学生了解自己当前的学习状况，及时对学习目标、学习计划做出调整，也方便教师掌握每个学生的学习情况。</w:t>
      </w:r>
    </w:p>
    <w:p>
      <w:pPr>
        <w:pStyle w:val="2"/>
        <w:ind w:left="0" w:leftChars="0" w:firstLine="480"/>
        <w:rPr>
          <w:sz w:val="24"/>
          <w:szCs w:val="24"/>
        </w:rPr>
      </w:pPr>
      <w:r>
        <w:rPr>
          <w:rFonts w:hint="eastAsia"/>
          <w:sz w:val="24"/>
          <w:szCs w:val="24"/>
        </w:rPr>
        <w:t>⑤具备网络学习答疑模块，使教师与学生能及时交流、答疑。</w:t>
      </w:r>
    </w:p>
    <w:p>
      <w:pPr>
        <w:pStyle w:val="2"/>
        <w:ind w:left="0" w:leftChars="0" w:firstLine="480"/>
        <w:rPr>
          <w:sz w:val="24"/>
          <w:szCs w:val="24"/>
        </w:rPr>
      </w:pPr>
      <w:r>
        <w:rPr>
          <w:rFonts w:hint="eastAsia"/>
          <w:sz w:val="24"/>
          <w:szCs w:val="24"/>
        </w:rPr>
        <w:t>8</w:t>
      </w:r>
      <w:r>
        <w:rPr>
          <w:sz w:val="24"/>
          <w:szCs w:val="24"/>
        </w:rPr>
        <w:t>.</w:t>
      </w:r>
      <w:r>
        <w:rPr>
          <w:rFonts w:hint="eastAsia"/>
          <w:sz w:val="24"/>
          <w:szCs w:val="24"/>
        </w:rPr>
        <w:t>拓展学习</w:t>
      </w:r>
    </w:p>
    <w:p>
      <w:pPr>
        <w:pStyle w:val="2"/>
        <w:ind w:left="0" w:leftChars="0" w:firstLine="480"/>
        <w:rPr>
          <w:sz w:val="24"/>
          <w:szCs w:val="24"/>
        </w:rPr>
      </w:pPr>
      <w:r>
        <w:rPr>
          <w:rFonts w:hint="eastAsia"/>
          <w:sz w:val="24"/>
          <w:szCs w:val="24"/>
        </w:rPr>
        <w:t>▲①能够提供丰富且具有完全知识产权的电子教材、文献、数据、视频等素材，教师在进行课程建设、备课、授课过程中随时可以搜索、引用、无缝插入。</w:t>
      </w:r>
    </w:p>
    <w:p>
      <w:pPr>
        <w:pStyle w:val="2"/>
        <w:ind w:left="0" w:leftChars="0" w:firstLine="480"/>
        <w:rPr>
          <w:sz w:val="24"/>
          <w:szCs w:val="24"/>
        </w:rPr>
      </w:pPr>
      <w:r>
        <w:rPr>
          <w:rFonts w:hint="eastAsia"/>
          <w:sz w:val="24"/>
          <w:szCs w:val="24"/>
        </w:rPr>
        <w:t>▲②具有知识点拓展阅读功能，可以根据一个关键词自动生成相关知识点的知识树，插入到课程单元中，并自动推送知识点相关的图书、期刊、论文等资料，以便于学生拓展学习。（需提供功能截图，并加盖供应商公章）</w:t>
      </w:r>
    </w:p>
    <w:p>
      <w:pPr>
        <w:pStyle w:val="2"/>
        <w:ind w:left="0" w:leftChars="0" w:firstLine="480"/>
        <w:rPr>
          <w:sz w:val="24"/>
          <w:szCs w:val="24"/>
        </w:rPr>
      </w:pPr>
      <w:r>
        <w:rPr>
          <w:rFonts w:hint="eastAsia"/>
          <w:sz w:val="24"/>
          <w:szCs w:val="24"/>
        </w:rPr>
        <w:t>▲③能够提供课程运行报告，包含课程教学运行报告，其中包括 mooc 课程开课情况数据：课程建设、课程运行、在线学习、课程成绩；学生调查数据：课程整体满意度、教学运行测评、网络情况；学生反馈及运行过程展示：学生评价及期望、课程运行过程展示、新闻报道；单节视频观看时长数据分析等。</w:t>
      </w:r>
    </w:p>
    <w:p>
      <w:pPr>
        <w:ind w:firstLine="480" w:firstLineChars="200"/>
        <w:rPr>
          <w:sz w:val="24"/>
          <w:szCs w:val="24"/>
        </w:rPr>
      </w:pPr>
      <w:r>
        <w:rPr>
          <w:rFonts w:hint="eastAsia"/>
          <w:sz w:val="24"/>
          <w:szCs w:val="24"/>
        </w:rPr>
        <w:t>▲9</w:t>
      </w:r>
      <w:r>
        <w:rPr>
          <w:sz w:val="24"/>
          <w:szCs w:val="24"/>
        </w:rPr>
        <w:t>.</w:t>
      </w:r>
      <w:r>
        <w:rPr>
          <w:rFonts w:hint="eastAsia"/>
          <w:sz w:val="24"/>
          <w:szCs w:val="24"/>
        </w:rPr>
        <w:t>供应商具有丰富的在线开放课程运行推广经验，在课程拍摄制作完成后，根据采购人课程建设运行需要，供应商应完善课程并上传到自有国家精品在线开放课程申报平台，在全国范围内进行推广，为采购人申报四川省省级、国家级精品在线开放课程提供数据保障（提供该平台为供应商自有平台的证明材料）。</w:t>
      </w:r>
    </w:p>
    <w:p>
      <w:pPr>
        <w:spacing w:line="560" w:lineRule="exact"/>
        <w:ind w:firstLine="480" w:firstLineChars="200"/>
        <w:rPr>
          <w:sz w:val="24"/>
          <w:szCs w:val="24"/>
        </w:rPr>
      </w:pPr>
      <w:r>
        <w:rPr>
          <w:rFonts w:hint="eastAsia" w:hAnsi="宋体" w:cs="宋体"/>
          <w:bCs/>
          <w:sz w:val="24"/>
          <w:szCs w:val="24"/>
        </w:rPr>
        <w:t>★</w:t>
      </w:r>
      <w:r>
        <w:rPr>
          <w:rFonts w:hint="eastAsia"/>
          <w:sz w:val="24"/>
          <w:szCs w:val="24"/>
        </w:rPr>
        <w:t>1</w:t>
      </w:r>
      <w:r>
        <w:rPr>
          <w:sz w:val="24"/>
          <w:szCs w:val="24"/>
        </w:rPr>
        <w:t>0.</w:t>
      </w:r>
      <w:r>
        <w:rPr>
          <w:rFonts w:hint="eastAsia"/>
          <w:sz w:val="24"/>
          <w:szCs w:val="24"/>
        </w:rPr>
        <w:t>课程建设完毕后，根据采购人课程建设运行需要，供应商为采购人申报四川省省级课程思政示范课程提供优质技术保障，必须确保拍摄作品按时、按质、按量提交。提供承诺函原件加盖公章，否则不得分。</w:t>
      </w:r>
    </w:p>
    <w:p>
      <w:pPr>
        <w:spacing w:line="560" w:lineRule="exact"/>
        <w:ind w:firstLine="480" w:firstLineChars="200"/>
        <w:rPr>
          <w:sz w:val="24"/>
          <w:szCs w:val="24"/>
        </w:rPr>
      </w:pPr>
      <w:r>
        <w:rPr>
          <w:rFonts w:hint="eastAsia" w:hAnsi="宋体" w:cs="宋体"/>
          <w:bCs/>
          <w:sz w:val="24"/>
          <w:szCs w:val="24"/>
        </w:rPr>
        <w:t>★</w:t>
      </w:r>
      <w:r>
        <w:rPr>
          <w:sz w:val="24"/>
          <w:szCs w:val="24"/>
        </w:rPr>
        <w:t>11.</w:t>
      </w:r>
      <w:r>
        <w:rPr>
          <w:rFonts w:hint="eastAsia"/>
          <w:sz w:val="24"/>
          <w:szCs w:val="24"/>
        </w:rPr>
        <w:t xml:space="preserve">后期服务要提供1年内为成片做免费的小范围修改、更新（不含补拍）等后续服务。提供承诺函原件加盖公章，否则不得分。 </w:t>
      </w:r>
    </w:p>
    <w:p>
      <w:pPr>
        <w:adjustRightInd w:val="0"/>
        <w:snapToGrid w:val="0"/>
        <w:spacing w:line="440" w:lineRule="exact"/>
        <w:ind w:firstLine="480" w:firstLineChars="200"/>
        <w:rPr>
          <w:rFonts w:hAnsi="宋体" w:cs="宋体"/>
          <w:bCs/>
          <w:sz w:val="24"/>
          <w:szCs w:val="24"/>
        </w:rPr>
      </w:pPr>
      <w:r>
        <w:rPr>
          <w:rFonts w:hint="eastAsia" w:hAnsi="宋体" w:cs="宋体"/>
          <w:bCs/>
          <w:sz w:val="24"/>
          <w:szCs w:val="24"/>
        </w:rPr>
        <w:t>★ （十三）版权要求</w:t>
      </w:r>
    </w:p>
    <w:p>
      <w:pPr>
        <w:adjustRightInd w:val="0"/>
        <w:snapToGrid w:val="0"/>
        <w:spacing w:line="440" w:lineRule="exact"/>
        <w:ind w:firstLine="480" w:firstLineChars="200"/>
        <w:rPr>
          <w:rFonts w:hAnsi="宋体" w:cs="宋体"/>
          <w:bCs/>
          <w:sz w:val="24"/>
          <w:szCs w:val="24"/>
        </w:rPr>
      </w:pPr>
      <w:r>
        <w:rPr>
          <w:rFonts w:hint="eastAsia" w:hAnsi="宋体" w:cs="宋体"/>
          <w:bCs/>
          <w:sz w:val="24"/>
          <w:szCs w:val="24"/>
        </w:rPr>
        <w:t>1</w:t>
      </w:r>
      <w:r>
        <w:rPr>
          <w:rFonts w:hAnsi="宋体" w:cs="宋体"/>
          <w:bCs/>
          <w:sz w:val="24"/>
          <w:szCs w:val="24"/>
        </w:rPr>
        <w:t>.</w:t>
      </w:r>
      <w:r>
        <w:rPr>
          <w:rFonts w:hint="eastAsia" w:hAnsi="宋体" w:cs="宋体"/>
          <w:bCs/>
          <w:sz w:val="24"/>
          <w:szCs w:val="24"/>
        </w:rPr>
        <w:t>制作方在制作时需注意成片中所使用的图片、音视频等素材的版权问题。如出现版权纠纷，所有的法律责任和经济赔偿均由制作方承担。</w:t>
      </w:r>
    </w:p>
    <w:p>
      <w:pPr>
        <w:adjustRightInd w:val="0"/>
        <w:snapToGrid w:val="0"/>
        <w:spacing w:line="440" w:lineRule="exact"/>
        <w:ind w:firstLine="480" w:firstLineChars="200"/>
        <w:rPr>
          <w:rFonts w:hAnsi="宋体" w:cs="宋体"/>
          <w:bCs/>
          <w:sz w:val="24"/>
          <w:szCs w:val="24"/>
        </w:rPr>
      </w:pPr>
      <w:r>
        <w:rPr>
          <w:rFonts w:hint="eastAsia" w:hAnsi="宋体" w:cs="宋体"/>
          <w:bCs/>
          <w:sz w:val="24"/>
          <w:szCs w:val="24"/>
        </w:rPr>
        <w:t>2</w:t>
      </w:r>
      <w:r>
        <w:rPr>
          <w:rFonts w:hAnsi="宋体" w:cs="宋体"/>
          <w:bCs/>
          <w:sz w:val="24"/>
          <w:szCs w:val="24"/>
        </w:rPr>
        <w:t>.</w:t>
      </w:r>
      <w:r>
        <w:rPr>
          <w:rFonts w:hint="eastAsia" w:hAnsi="宋体" w:cs="宋体"/>
          <w:bCs/>
          <w:sz w:val="24"/>
          <w:szCs w:val="24"/>
        </w:rPr>
        <w:t>制作方对授课案例中的当事人肖像权、隐私等采取适当技术手段处理。如出现侵权纠纷，所有的法律责任和经济赔偿均由制作方承担。</w:t>
      </w:r>
    </w:p>
    <w:p>
      <w:pPr>
        <w:adjustRightInd w:val="0"/>
        <w:snapToGrid w:val="0"/>
        <w:spacing w:line="440" w:lineRule="exact"/>
        <w:ind w:firstLine="480" w:firstLineChars="200"/>
        <w:rPr>
          <w:rFonts w:hAnsi="宋体" w:cs="宋体"/>
          <w:bCs/>
          <w:sz w:val="24"/>
          <w:szCs w:val="24"/>
        </w:rPr>
      </w:pPr>
      <w:r>
        <w:rPr>
          <w:rFonts w:hint="eastAsia" w:hAnsi="宋体" w:cs="宋体"/>
          <w:bCs/>
          <w:sz w:val="24"/>
          <w:szCs w:val="24"/>
        </w:rPr>
        <w:t>3</w:t>
      </w:r>
      <w:r>
        <w:rPr>
          <w:rFonts w:hAnsi="宋体" w:cs="宋体"/>
          <w:bCs/>
          <w:sz w:val="24"/>
          <w:szCs w:val="24"/>
        </w:rPr>
        <w:t>.</w:t>
      </w:r>
      <w:r>
        <w:rPr>
          <w:rFonts w:hint="eastAsia" w:hAnsi="宋体" w:cs="宋体"/>
          <w:bCs/>
          <w:sz w:val="24"/>
          <w:szCs w:val="24"/>
        </w:rPr>
        <w:t>所有制作完成的课程成品，其版权归四川铁道职业学院所有，未经允许，任何单位和个人不得进行商业传播。</w:t>
      </w:r>
    </w:p>
    <w:p>
      <w:pPr>
        <w:adjustRightInd w:val="0"/>
        <w:snapToGrid w:val="0"/>
        <w:spacing w:line="440" w:lineRule="exact"/>
        <w:ind w:firstLine="480" w:firstLineChars="200"/>
        <w:rPr>
          <w:rFonts w:hAnsi="宋体" w:cs="宋体"/>
          <w:bCs/>
          <w:sz w:val="24"/>
          <w:szCs w:val="24"/>
        </w:rPr>
      </w:pPr>
      <w:r>
        <w:rPr>
          <w:rFonts w:hint="eastAsia" w:hAnsi="宋体" w:cs="宋体"/>
          <w:bCs/>
          <w:sz w:val="24"/>
          <w:szCs w:val="24"/>
        </w:rPr>
        <w:t>4</w:t>
      </w:r>
      <w:r>
        <w:rPr>
          <w:rFonts w:hAnsi="宋体" w:cs="宋体"/>
          <w:bCs/>
          <w:sz w:val="24"/>
          <w:szCs w:val="24"/>
        </w:rPr>
        <w:t>.</w:t>
      </w:r>
      <w:r>
        <w:rPr>
          <w:rFonts w:hint="eastAsia" w:hAnsi="宋体" w:cs="宋体"/>
          <w:bCs/>
          <w:sz w:val="24"/>
          <w:szCs w:val="24"/>
        </w:rPr>
        <w:t>所有资料提供出处并在片尾声明。</w:t>
      </w:r>
    </w:p>
    <w:p>
      <w:pPr>
        <w:adjustRightInd w:val="0"/>
        <w:snapToGrid w:val="0"/>
        <w:spacing w:line="440" w:lineRule="exact"/>
        <w:ind w:left="485"/>
        <w:rPr>
          <w:rFonts w:hAnsi="宋体" w:cs="宋体"/>
          <w:bCs/>
          <w:sz w:val="24"/>
          <w:szCs w:val="24"/>
        </w:rPr>
      </w:pPr>
      <w:r>
        <w:rPr>
          <w:rFonts w:hint="eastAsia" w:hAnsi="宋体" w:cs="宋体"/>
          <w:bCs/>
          <w:sz w:val="24"/>
          <w:szCs w:val="24"/>
        </w:rPr>
        <w:t>（十四）其他要求</w:t>
      </w:r>
    </w:p>
    <w:p>
      <w:pPr>
        <w:adjustRightInd w:val="0"/>
        <w:snapToGrid w:val="0"/>
        <w:spacing w:line="440" w:lineRule="exact"/>
        <w:ind w:firstLine="480" w:firstLineChars="200"/>
        <w:rPr>
          <w:rFonts w:hAnsi="宋体" w:cs="宋体"/>
          <w:bCs/>
          <w:sz w:val="24"/>
          <w:szCs w:val="24"/>
        </w:rPr>
      </w:pPr>
      <w:r>
        <w:rPr>
          <w:rFonts w:hAnsi="宋体" w:cs="宋体"/>
          <w:bCs/>
          <w:sz w:val="24"/>
          <w:szCs w:val="24"/>
        </w:rPr>
        <w:t>1.</w:t>
      </w:r>
      <w:r>
        <w:rPr>
          <w:rFonts w:hint="eastAsia" w:hAnsi="宋体" w:cs="宋体"/>
          <w:bCs/>
          <w:sz w:val="24"/>
          <w:szCs w:val="24"/>
        </w:rPr>
        <w:t>投标人须展示课程制作的工作进度表范例，供招标人检查督促时间进度和工作内容及质量。</w:t>
      </w:r>
    </w:p>
    <w:p>
      <w:pPr>
        <w:adjustRightInd w:val="0"/>
        <w:snapToGrid w:val="0"/>
        <w:spacing w:line="440" w:lineRule="exact"/>
        <w:ind w:firstLine="480" w:firstLineChars="200"/>
        <w:rPr>
          <w:rFonts w:hAnsi="宋体" w:cs="宋体"/>
          <w:bCs/>
          <w:sz w:val="24"/>
          <w:szCs w:val="24"/>
        </w:rPr>
      </w:pPr>
      <w:r>
        <w:rPr>
          <w:rFonts w:hAnsi="宋体" w:cs="宋体"/>
          <w:bCs/>
          <w:sz w:val="24"/>
          <w:szCs w:val="24"/>
        </w:rPr>
        <w:t>2.</w:t>
      </w:r>
      <w:r>
        <w:rPr>
          <w:rFonts w:hint="eastAsia" w:hAnsi="宋体" w:cs="宋体"/>
          <w:bCs/>
          <w:sz w:val="24"/>
          <w:szCs w:val="24"/>
        </w:rPr>
        <w:t>成交后，课程制作方 10 日内须要召开项目启动会，进行课程服务的全面对接，保证安排课程运营、服务人员一对一服务于课程团队。</w:t>
      </w:r>
    </w:p>
    <w:p>
      <w:pPr>
        <w:spacing w:line="440" w:lineRule="exact"/>
        <w:ind w:firstLine="482" w:firstLineChars="200"/>
        <w:rPr>
          <w:rFonts w:hAnsi="宋体" w:cs="宋体"/>
          <w:b/>
          <w:bCs/>
          <w:sz w:val="24"/>
          <w:szCs w:val="24"/>
        </w:rPr>
      </w:pPr>
      <w:r>
        <w:rPr>
          <w:rFonts w:hint="eastAsia" w:hAnsi="宋体" w:cs="宋体"/>
          <w:b/>
          <w:bCs/>
          <w:sz w:val="24"/>
          <w:szCs w:val="24"/>
        </w:rPr>
        <w:t>三、商务要求</w:t>
      </w:r>
    </w:p>
    <w:p>
      <w:pPr>
        <w:adjustRightInd w:val="0"/>
        <w:snapToGrid w:val="0"/>
        <w:spacing w:line="440" w:lineRule="exact"/>
        <w:ind w:firstLine="480" w:firstLineChars="200"/>
        <w:rPr>
          <w:rFonts w:hAnsi="宋体" w:cs="宋体"/>
          <w:bCs/>
          <w:sz w:val="24"/>
          <w:szCs w:val="24"/>
        </w:rPr>
      </w:pPr>
      <w:r>
        <w:rPr>
          <w:rFonts w:hint="eastAsia" w:hAnsi="宋体" w:cs="宋体"/>
          <w:bCs/>
          <w:sz w:val="24"/>
          <w:szCs w:val="24"/>
        </w:rPr>
        <w:t>1</w:t>
      </w:r>
      <w:r>
        <w:rPr>
          <w:rFonts w:hAnsi="宋体" w:cs="宋体"/>
          <w:bCs/>
          <w:sz w:val="24"/>
          <w:szCs w:val="24"/>
        </w:rPr>
        <w:t>.</w:t>
      </w:r>
      <w:r>
        <w:rPr>
          <w:rFonts w:hint="eastAsia" w:hAnsi="宋体" w:cs="宋体"/>
          <w:bCs/>
          <w:sz w:val="24"/>
          <w:szCs w:val="24"/>
        </w:rPr>
        <w:t>课程验收。课程制作完成后，采购方将对最终成品进行验收，测试验收时间为2个工作日。</w:t>
      </w:r>
    </w:p>
    <w:p>
      <w:pPr>
        <w:spacing w:line="440" w:lineRule="exact"/>
        <w:ind w:firstLine="480" w:firstLineChars="200"/>
        <w:rPr>
          <w:rFonts w:hAnsi="宋体" w:cs="宋体"/>
          <w:bCs/>
          <w:sz w:val="24"/>
          <w:szCs w:val="24"/>
        </w:rPr>
      </w:pPr>
      <w:r>
        <w:rPr>
          <w:rFonts w:hAnsi="宋体" w:cs="宋体"/>
          <w:bCs/>
          <w:sz w:val="24"/>
          <w:szCs w:val="24"/>
        </w:rPr>
        <w:t>2</w:t>
      </w:r>
      <w:r>
        <w:rPr>
          <w:rFonts w:hint="eastAsia" w:hAnsi="宋体" w:cs="宋体"/>
          <w:bCs/>
          <w:sz w:val="24"/>
          <w:szCs w:val="24"/>
        </w:rPr>
        <w:t>.服务期限：在合同签订后 1.5 个月内完成课程视频拍摄且验收合格、提交成品，质保期自验收合格之日起生效，时间为</w:t>
      </w:r>
      <w:r>
        <w:rPr>
          <w:rFonts w:hint="eastAsia" w:hAnsi="宋体" w:cs="宋体"/>
          <w:bCs/>
          <w:sz w:val="24"/>
          <w:szCs w:val="24"/>
          <w:lang w:val="en-US" w:eastAsia="zh-CN"/>
        </w:rPr>
        <w:t>1</w:t>
      </w:r>
      <w:r>
        <w:rPr>
          <w:rFonts w:hint="eastAsia" w:hAnsi="宋体" w:cs="宋体"/>
          <w:bCs/>
          <w:sz w:val="24"/>
          <w:szCs w:val="24"/>
        </w:rPr>
        <w:t>年。</w:t>
      </w:r>
      <w:bookmarkStart w:id="98" w:name="_GoBack"/>
      <w:bookmarkEnd w:id="98"/>
    </w:p>
    <w:p>
      <w:pPr>
        <w:adjustRightInd w:val="0"/>
        <w:snapToGrid w:val="0"/>
        <w:spacing w:line="440" w:lineRule="exact"/>
        <w:ind w:left="485"/>
        <w:rPr>
          <w:rFonts w:hAnsi="宋体" w:cs="宋体"/>
          <w:bCs/>
          <w:sz w:val="24"/>
          <w:szCs w:val="24"/>
        </w:rPr>
      </w:pPr>
      <w:r>
        <w:rPr>
          <w:rFonts w:hAnsi="宋体" w:cs="宋体"/>
          <w:bCs/>
          <w:sz w:val="24"/>
          <w:szCs w:val="24"/>
        </w:rPr>
        <w:t>3</w:t>
      </w:r>
      <w:r>
        <w:rPr>
          <w:rFonts w:hint="eastAsia" w:hAnsi="宋体" w:cs="宋体"/>
          <w:bCs/>
          <w:sz w:val="24"/>
          <w:szCs w:val="24"/>
        </w:rPr>
        <w:t>.服务地点：采购人指定地点。</w:t>
      </w:r>
    </w:p>
    <w:p>
      <w:pPr>
        <w:adjustRightInd w:val="0"/>
        <w:snapToGrid w:val="0"/>
        <w:spacing w:line="440" w:lineRule="exact"/>
        <w:ind w:firstLine="480" w:firstLineChars="200"/>
        <w:rPr>
          <w:rFonts w:hAnsi="宋体" w:cs="宋体"/>
          <w:bCs/>
          <w:sz w:val="24"/>
          <w:szCs w:val="24"/>
        </w:rPr>
      </w:pPr>
      <w:r>
        <w:rPr>
          <w:rFonts w:hAnsi="宋体" w:cs="宋体"/>
          <w:bCs/>
          <w:sz w:val="24"/>
          <w:szCs w:val="24"/>
        </w:rPr>
        <w:t>4</w:t>
      </w:r>
      <w:r>
        <w:rPr>
          <w:rFonts w:hint="eastAsia" w:hAnsi="宋体" w:cs="宋体"/>
          <w:bCs/>
          <w:sz w:val="24"/>
          <w:szCs w:val="24"/>
        </w:rPr>
        <w:t>.付款方式：合同签订后 10 个工作日内，支付合同金额 60%作为预付款；作品按时提交后，支付合同总金额的 40%。</w:t>
      </w:r>
    </w:p>
    <w:p>
      <w:pPr>
        <w:adjustRightInd w:val="0"/>
        <w:snapToGrid w:val="0"/>
        <w:spacing w:line="440" w:lineRule="exact"/>
        <w:ind w:left="485"/>
        <w:rPr>
          <w:rFonts w:hAnsi="宋体" w:cs="宋体"/>
          <w:b/>
          <w:bCs/>
          <w:sz w:val="24"/>
          <w:szCs w:val="24"/>
        </w:rPr>
      </w:pPr>
      <w:r>
        <w:rPr>
          <w:rFonts w:hint="eastAsia" w:hAnsi="宋体" w:cs="宋体"/>
          <w:b/>
          <w:bCs/>
          <w:sz w:val="24"/>
          <w:szCs w:val="24"/>
        </w:rPr>
        <w:t>注意：1、“▲”条款为重要技术参数要求，若有负偏离，只作扣分处理；“★”条款为实质性要求，不允许负偏离，否则其响应文件作无效处理。</w:t>
      </w:r>
    </w:p>
    <w:p>
      <w:pPr>
        <w:pStyle w:val="5"/>
        <w:adjustRightInd w:val="0"/>
        <w:snapToGrid w:val="0"/>
        <w:spacing w:before="0" w:after="0" w:line="440" w:lineRule="exact"/>
        <w:ind w:firstLine="723" w:firstLineChars="300"/>
        <w:rPr>
          <w:rFonts w:ascii="宋体" w:hAnsi="宋体" w:eastAsia="宋体" w:cs="宋体"/>
          <w:bCs/>
          <w:sz w:val="24"/>
          <w:szCs w:val="24"/>
        </w:rPr>
      </w:pPr>
      <w:r>
        <w:rPr>
          <w:rFonts w:hint="eastAsia" w:ascii="宋体" w:hAnsi="宋体" w:eastAsia="宋体" w:cs="宋体"/>
          <w:bCs/>
          <w:sz w:val="24"/>
          <w:szCs w:val="24"/>
        </w:rPr>
        <w:t>2、本次项目不接受联合体投标；本次项目不得转包、分包。</w:t>
      </w:r>
    </w:p>
    <w:p>
      <w:pPr>
        <w:rPr>
          <w:rFonts w:hAnsi="宋体" w:cs="宋体"/>
          <w:b/>
          <w:bCs/>
          <w:sz w:val="24"/>
          <w:szCs w:val="24"/>
        </w:rPr>
      </w:pPr>
      <w:r>
        <w:rPr>
          <w:rFonts w:hint="eastAsia" w:hAnsi="宋体" w:cs="宋体"/>
          <w:b/>
          <w:bCs/>
          <w:sz w:val="24"/>
          <w:szCs w:val="24"/>
        </w:rPr>
        <w:br w:type="page"/>
      </w:r>
    </w:p>
    <w:p>
      <w:pPr>
        <w:adjustRightInd w:val="0"/>
        <w:snapToGrid w:val="0"/>
        <w:spacing w:line="360" w:lineRule="auto"/>
        <w:ind w:firstLine="710" w:firstLineChars="188"/>
        <w:jc w:val="center"/>
        <w:rPr>
          <w:rFonts w:hAnsi="宋体"/>
          <w:b/>
          <w:spacing w:val="8"/>
          <w:sz w:val="36"/>
          <w:szCs w:val="36"/>
        </w:rPr>
      </w:pPr>
    </w:p>
    <w:p>
      <w:pPr>
        <w:adjustRightInd w:val="0"/>
        <w:snapToGrid w:val="0"/>
        <w:spacing w:line="360" w:lineRule="auto"/>
        <w:ind w:firstLine="710" w:firstLineChars="188"/>
        <w:jc w:val="center"/>
        <w:rPr>
          <w:rFonts w:hAnsi="宋体"/>
          <w:b/>
          <w:spacing w:val="8"/>
          <w:sz w:val="36"/>
          <w:szCs w:val="36"/>
        </w:rPr>
      </w:pPr>
      <w:r>
        <w:rPr>
          <w:rFonts w:hint="eastAsia" w:hAnsi="宋体"/>
          <w:b/>
          <w:spacing w:val="8"/>
          <w:sz w:val="36"/>
          <w:szCs w:val="36"/>
        </w:rPr>
        <w:t>第五章 评标办法</w:t>
      </w:r>
    </w:p>
    <w:p>
      <w:pPr>
        <w:adjustRightInd w:val="0"/>
        <w:snapToGrid w:val="0"/>
        <w:spacing w:line="360" w:lineRule="auto"/>
        <w:ind w:firstLine="480" w:firstLineChars="200"/>
        <w:jc w:val="left"/>
        <w:rPr>
          <w:rFonts w:hAnsi="宋体"/>
          <w:color w:val="000000"/>
          <w:sz w:val="24"/>
        </w:rPr>
      </w:pPr>
    </w:p>
    <w:p>
      <w:pPr>
        <w:adjustRightInd w:val="0"/>
        <w:snapToGrid w:val="0"/>
        <w:spacing w:line="440" w:lineRule="exact"/>
        <w:ind w:firstLine="480" w:firstLineChars="200"/>
        <w:jc w:val="left"/>
        <w:rPr>
          <w:rFonts w:hAnsi="宋体"/>
          <w:color w:val="000000"/>
          <w:sz w:val="24"/>
        </w:rPr>
      </w:pPr>
      <w:r>
        <w:rPr>
          <w:rFonts w:hint="eastAsia" w:hAnsi="宋体"/>
          <w:color w:val="000000"/>
          <w:sz w:val="24"/>
        </w:rPr>
        <w:t>一、评标办法</w:t>
      </w:r>
    </w:p>
    <w:p>
      <w:pPr>
        <w:adjustRightInd w:val="0"/>
        <w:snapToGrid w:val="0"/>
        <w:spacing w:line="440" w:lineRule="exact"/>
        <w:ind w:firstLine="480" w:firstLineChars="200"/>
        <w:jc w:val="left"/>
        <w:rPr>
          <w:rFonts w:hAnsi="宋体"/>
          <w:color w:val="000000"/>
          <w:sz w:val="24"/>
        </w:rPr>
      </w:pPr>
      <w:r>
        <w:rPr>
          <w:rFonts w:hint="eastAsia" w:hAnsi="宋体"/>
          <w:color w:val="000000"/>
          <w:sz w:val="24"/>
        </w:rPr>
        <w:t>本次评标采用综合评标法。</w:t>
      </w:r>
      <w:r>
        <w:rPr>
          <w:rFonts w:hAnsi="宋体"/>
          <w:color w:val="000000"/>
          <w:sz w:val="24"/>
        </w:rPr>
        <w:t xml:space="preserve"> </w:t>
      </w:r>
    </w:p>
    <w:p>
      <w:pPr>
        <w:adjustRightInd w:val="0"/>
        <w:snapToGrid w:val="0"/>
        <w:spacing w:line="440" w:lineRule="exact"/>
        <w:ind w:firstLine="480" w:firstLineChars="200"/>
        <w:jc w:val="left"/>
        <w:rPr>
          <w:rFonts w:hAnsi="宋体"/>
          <w:color w:val="000000"/>
          <w:sz w:val="24"/>
        </w:rPr>
      </w:pPr>
      <w:r>
        <w:rPr>
          <w:rFonts w:hint="eastAsia" w:hAnsi="宋体"/>
          <w:color w:val="000000"/>
          <w:sz w:val="24"/>
        </w:rPr>
        <w:t>二、评分办法说明</w:t>
      </w:r>
      <w:r>
        <w:rPr>
          <w:rFonts w:hAnsi="宋体"/>
          <w:color w:val="000000"/>
          <w:sz w:val="24"/>
        </w:rPr>
        <w:t xml:space="preserve"> </w:t>
      </w:r>
    </w:p>
    <w:p>
      <w:pPr>
        <w:adjustRightInd w:val="0"/>
        <w:snapToGrid w:val="0"/>
        <w:spacing w:line="440" w:lineRule="exact"/>
        <w:ind w:firstLine="480" w:firstLineChars="200"/>
        <w:jc w:val="left"/>
        <w:rPr>
          <w:rFonts w:hAnsi="宋体"/>
          <w:color w:val="000000"/>
          <w:sz w:val="24"/>
        </w:rPr>
      </w:pPr>
      <w:r>
        <w:rPr>
          <w:rFonts w:hint="eastAsia" w:hAnsi="宋体"/>
          <w:color w:val="000000"/>
          <w:sz w:val="24"/>
        </w:rPr>
        <w:t>对各投标文件进行详细评审打分，满分为</w:t>
      </w:r>
      <w:r>
        <w:rPr>
          <w:rFonts w:hAnsi="宋体"/>
          <w:color w:val="000000"/>
          <w:sz w:val="24"/>
        </w:rPr>
        <w:t xml:space="preserve"> 100 </w:t>
      </w:r>
      <w:r>
        <w:rPr>
          <w:rFonts w:hint="eastAsia" w:hAnsi="宋体"/>
          <w:color w:val="000000"/>
          <w:sz w:val="24"/>
        </w:rPr>
        <w:t>分。各投标人各方面的所有评价指标得分之和为该投标人的综合得分。</w:t>
      </w:r>
    </w:p>
    <w:p>
      <w:pPr>
        <w:adjustRightInd w:val="0"/>
        <w:snapToGrid w:val="0"/>
        <w:spacing w:line="440" w:lineRule="exact"/>
        <w:ind w:firstLine="480" w:firstLineChars="200"/>
        <w:jc w:val="left"/>
        <w:rPr>
          <w:rFonts w:hAnsi="宋体"/>
          <w:color w:val="000000"/>
          <w:sz w:val="24"/>
        </w:rPr>
      </w:pPr>
      <w:r>
        <w:rPr>
          <w:rFonts w:hint="eastAsia" w:hAnsi="宋体"/>
          <w:color w:val="000000"/>
          <w:sz w:val="24"/>
        </w:rPr>
        <w:t>详细评分标准如下表：</w:t>
      </w:r>
      <w:r>
        <w:rPr>
          <w:rFonts w:hAnsi="宋体"/>
          <w:color w:val="000000"/>
          <w:sz w:val="24"/>
        </w:rPr>
        <w:t xml:space="preserve"> </w:t>
      </w:r>
    </w:p>
    <w:tbl>
      <w:tblPr>
        <w:tblStyle w:val="20"/>
        <w:tblpPr w:leftFromText="180" w:rightFromText="180" w:vertAnchor="text" w:horzAnchor="page" w:tblpX="1086" w:tblpY="568"/>
        <w:tblOverlap w:val="never"/>
        <w:tblW w:w="96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7"/>
        <w:gridCol w:w="1883"/>
        <w:gridCol w:w="7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727" w:type="dxa"/>
            <w:vAlign w:val="center"/>
          </w:tcPr>
          <w:p>
            <w:pPr>
              <w:pStyle w:val="78"/>
              <w:adjustRightInd w:val="0"/>
              <w:snapToGrid w:val="0"/>
              <w:jc w:val="center"/>
              <w:rPr>
                <w:rFonts w:ascii="宋体" w:hAnsi="宋体" w:cs="宋体"/>
                <w:sz w:val="24"/>
              </w:rPr>
            </w:pPr>
            <w:r>
              <w:rPr>
                <w:rFonts w:hint="eastAsia" w:ascii="宋体" w:hAnsi="宋体" w:cs="宋体"/>
                <w:sz w:val="24"/>
              </w:rPr>
              <w:t>序号</w:t>
            </w:r>
          </w:p>
        </w:tc>
        <w:tc>
          <w:tcPr>
            <w:tcW w:w="1883" w:type="dxa"/>
            <w:vAlign w:val="center"/>
          </w:tcPr>
          <w:p>
            <w:pPr>
              <w:pStyle w:val="78"/>
              <w:adjustRightInd w:val="0"/>
              <w:snapToGrid w:val="0"/>
              <w:jc w:val="center"/>
              <w:rPr>
                <w:rFonts w:ascii="宋体" w:hAnsi="宋体" w:cs="宋体"/>
                <w:sz w:val="24"/>
              </w:rPr>
            </w:pPr>
            <w:r>
              <w:rPr>
                <w:rFonts w:hint="eastAsia" w:ascii="宋体" w:hAnsi="宋体" w:cs="宋体"/>
                <w:sz w:val="24"/>
              </w:rPr>
              <w:t>评分项目及分值</w:t>
            </w:r>
          </w:p>
        </w:tc>
        <w:tc>
          <w:tcPr>
            <w:tcW w:w="7089" w:type="dxa"/>
            <w:vAlign w:val="center"/>
          </w:tcPr>
          <w:p>
            <w:pPr>
              <w:pStyle w:val="78"/>
              <w:adjustRightInd w:val="0"/>
              <w:snapToGrid w:val="0"/>
              <w:jc w:val="center"/>
              <w:rPr>
                <w:rFonts w:ascii="宋体" w:hAnsi="宋体" w:cs="宋体"/>
                <w:sz w:val="24"/>
              </w:rPr>
            </w:pPr>
            <w:r>
              <w:rPr>
                <w:rFonts w:hint="eastAsia" w:ascii="宋体" w:hAnsi="宋体" w:cs="宋体"/>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3" w:hRule="atLeast"/>
        </w:trPr>
        <w:tc>
          <w:tcPr>
            <w:tcW w:w="727" w:type="dxa"/>
            <w:vAlign w:val="center"/>
          </w:tcPr>
          <w:p>
            <w:pPr>
              <w:pStyle w:val="78"/>
              <w:adjustRightInd w:val="0"/>
              <w:snapToGrid w:val="0"/>
              <w:jc w:val="center"/>
              <w:rPr>
                <w:rFonts w:ascii="宋体" w:hAnsi="宋体" w:cs="宋体"/>
                <w:sz w:val="24"/>
              </w:rPr>
            </w:pPr>
            <w:r>
              <w:rPr>
                <w:rFonts w:hint="eastAsia" w:ascii="宋体" w:hAnsi="宋体" w:cs="宋体"/>
                <w:sz w:val="24"/>
              </w:rPr>
              <w:t>1</w:t>
            </w:r>
          </w:p>
        </w:tc>
        <w:tc>
          <w:tcPr>
            <w:tcW w:w="1883" w:type="dxa"/>
            <w:vAlign w:val="center"/>
          </w:tcPr>
          <w:p>
            <w:pPr>
              <w:pStyle w:val="78"/>
              <w:adjustRightInd w:val="0"/>
              <w:snapToGrid w:val="0"/>
              <w:jc w:val="center"/>
              <w:rPr>
                <w:rFonts w:ascii="宋体" w:hAnsi="宋体" w:cs="宋体"/>
                <w:sz w:val="24"/>
              </w:rPr>
            </w:pPr>
            <w:r>
              <w:rPr>
                <w:rFonts w:hint="eastAsia" w:ascii="宋体" w:hAnsi="宋体" w:cs="宋体"/>
                <w:sz w:val="24"/>
              </w:rPr>
              <w:t>报价</w:t>
            </w:r>
          </w:p>
          <w:p>
            <w:pPr>
              <w:pStyle w:val="78"/>
              <w:adjustRightInd w:val="0"/>
              <w:snapToGrid w:val="0"/>
              <w:jc w:val="center"/>
              <w:rPr>
                <w:rFonts w:ascii="宋体" w:hAnsi="宋体" w:cs="宋体"/>
                <w:sz w:val="24"/>
              </w:rPr>
            </w:pPr>
            <w:r>
              <w:rPr>
                <w:rFonts w:hint="eastAsia" w:ascii="宋体" w:hAnsi="宋体" w:cs="宋体"/>
                <w:sz w:val="24"/>
              </w:rPr>
              <w:t>（共</w:t>
            </w:r>
            <w:r>
              <w:rPr>
                <w:rFonts w:ascii="宋体" w:hAnsi="宋体" w:cs="宋体"/>
                <w:sz w:val="24"/>
              </w:rPr>
              <w:t>10</w:t>
            </w:r>
            <w:r>
              <w:rPr>
                <w:rFonts w:hint="eastAsia" w:ascii="宋体" w:hAnsi="宋体" w:cs="宋体"/>
                <w:sz w:val="24"/>
              </w:rPr>
              <w:t>分）</w:t>
            </w:r>
          </w:p>
        </w:tc>
        <w:tc>
          <w:tcPr>
            <w:tcW w:w="7089" w:type="dxa"/>
          </w:tcPr>
          <w:p>
            <w:pPr>
              <w:pStyle w:val="78"/>
              <w:tabs>
                <w:tab w:val="left" w:pos="350"/>
              </w:tabs>
              <w:spacing w:before="6" w:line="440" w:lineRule="exact"/>
              <w:ind w:firstLine="480"/>
              <w:rPr>
                <w:rFonts w:ascii="宋体" w:hAnsi="宋体" w:cs="宋体"/>
                <w:sz w:val="24"/>
              </w:rPr>
            </w:pPr>
            <w:r>
              <w:rPr>
                <w:rFonts w:hint="eastAsia" w:ascii="宋体" w:hAnsi="宋体" w:cs="宋体"/>
                <w:sz w:val="24"/>
              </w:rPr>
              <w:t>1.满足招标文件要求且投标价格最低的投标报价为评标基准价，其价格分为满分。其他投标人的价格分统一按照下列公式计算：投标报价得分=(评标基准价／投标报价)×100</w:t>
            </w:r>
          </w:p>
          <w:p>
            <w:pPr>
              <w:pStyle w:val="78"/>
              <w:tabs>
                <w:tab w:val="left" w:pos="350"/>
              </w:tabs>
              <w:spacing w:before="6" w:line="440" w:lineRule="exact"/>
              <w:ind w:firstLine="480"/>
              <w:rPr>
                <w:rFonts w:ascii="宋体" w:hAnsi="宋体" w:cs="宋体"/>
                <w:sz w:val="24"/>
              </w:rPr>
            </w:pPr>
            <w:r>
              <w:rPr>
                <w:rFonts w:hint="eastAsia" w:ascii="宋体" w:hAnsi="宋体" w:cs="宋体"/>
                <w:sz w:val="24"/>
              </w:rPr>
              <w:t>2.报价最终得分=投标报价得分×权重。评分的取值按四舍五入法，保留小数点后两位。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trPr>
        <w:tc>
          <w:tcPr>
            <w:tcW w:w="727" w:type="dxa"/>
            <w:vAlign w:val="center"/>
          </w:tcPr>
          <w:p>
            <w:pPr>
              <w:pStyle w:val="78"/>
              <w:adjustRightInd w:val="0"/>
              <w:snapToGrid w:val="0"/>
              <w:jc w:val="center"/>
              <w:rPr>
                <w:rFonts w:ascii="宋体" w:hAnsi="宋体" w:cs="宋体"/>
                <w:sz w:val="24"/>
              </w:rPr>
            </w:pPr>
            <w:r>
              <w:rPr>
                <w:rFonts w:hint="eastAsia" w:ascii="宋体" w:hAnsi="宋体" w:cs="宋体"/>
                <w:sz w:val="24"/>
              </w:rPr>
              <w:t>2</w:t>
            </w:r>
          </w:p>
        </w:tc>
        <w:tc>
          <w:tcPr>
            <w:tcW w:w="1883" w:type="dxa"/>
            <w:vAlign w:val="center"/>
          </w:tcPr>
          <w:p>
            <w:pPr>
              <w:pStyle w:val="78"/>
              <w:adjustRightInd w:val="0"/>
              <w:snapToGrid w:val="0"/>
              <w:jc w:val="center"/>
              <w:rPr>
                <w:rFonts w:ascii="宋体" w:hAnsi="宋体" w:cs="宋体"/>
                <w:sz w:val="28"/>
                <w:szCs w:val="28"/>
              </w:rPr>
            </w:pPr>
            <w:r>
              <w:rPr>
                <w:rFonts w:hint="eastAsia" w:ascii="宋体" w:hAnsi="Calibri"/>
                <w:kern w:val="0"/>
                <w:sz w:val="24"/>
              </w:rPr>
              <w:t>业绩（共</w:t>
            </w:r>
            <w:r>
              <w:rPr>
                <w:rFonts w:ascii="宋体" w:hAnsi="Calibri"/>
                <w:kern w:val="0"/>
                <w:sz w:val="24"/>
              </w:rPr>
              <w:t>10</w:t>
            </w:r>
            <w:r>
              <w:rPr>
                <w:rFonts w:hint="eastAsia" w:ascii="宋体" w:hAnsi="Calibri"/>
                <w:kern w:val="0"/>
                <w:sz w:val="24"/>
              </w:rPr>
              <w:t>分）</w:t>
            </w:r>
          </w:p>
        </w:tc>
        <w:tc>
          <w:tcPr>
            <w:tcW w:w="7089" w:type="dxa"/>
          </w:tcPr>
          <w:p>
            <w:pPr>
              <w:tabs>
                <w:tab w:val="left" w:pos="312"/>
              </w:tabs>
              <w:adjustRightInd w:val="0"/>
              <w:spacing w:line="440" w:lineRule="exact"/>
              <w:ind w:firstLine="480" w:firstLineChars="200"/>
              <w:textAlignment w:val="baseline"/>
              <w:rPr>
                <w:sz w:val="24"/>
                <w:szCs w:val="24"/>
              </w:rPr>
            </w:pPr>
            <w:r>
              <w:rPr>
                <w:rFonts w:hint="eastAsia"/>
                <w:sz w:val="24"/>
                <w:szCs w:val="24"/>
              </w:rPr>
              <w:t>1</w:t>
            </w:r>
            <w:r>
              <w:rPr>
                <w:sz w:val="24"/>
                <w:szCs w:val="24"/>
              </w:rPr>
              <w:t>.</w:t>
            </w:r>
            <w:r>
              <w:rPr>
                <w:rFonts w:hint="eastAsia"/>
                <w:sz w:val="24"/>
                <w:szCs w:val="24"/>
              </w:rPr>
              <w:t>供应商201</w:t>
            </w:r>
            <w:r>
              <w:rPr>
                <w:sz w:val="24"/>
                <w:szCs w:val="24"/>
              </w:rPr>
              <w:t>8</w:t>
            </w:r>
            <w:r>
              <w:rPr>
                <w:rFonts w:hint="eastAsia"/>
                <w:sz w:val="24"/>
                <w:szCs w:val="24"/>
              </w:rPr>
              <w:t>年1月1日（含）以来的类似项目履约经验，每提供一份证明材料得1分，最多</w:t>
            </w:r>
            <w:r>
              <w:rPr>
                <w:sz w:val="24"/>
                <w:szCs w:val="24"/>
              </w:rPr>
              <w:t>5</w:t>
            </w:r>
            <w:r>
              <w:rPr>
                <w:rFonts w:hint="eastAsia"/>
                <w:sz w:val="24"/>
                <w:szCs w:val="24"/>
              </w:rPr>
              <w:t>分。（需提供合同复印件或中标（成交）通知书复印件并加盖供应商公章）</w:t>
            </w:r>
          </w:p>
          <w:p>
            <w:pPr>
              <w:spacing w:line="440" w:lineRule="exact"/>
              <w:ind w:firstLine="480" w:firstLineChars="200"/>
              <w:rPr>
                <w:rFonts w:hAnsi="宋体" w:cs="宋体"/>
                <w:sz w:val="28"/>
                <w:szCs w:val="28"/>
              </w:rPr>
            </w:pPr>
            <w:r>
              <w:rPr>
                <w:rFonts w:hint="eastAsia"/>
                <w:sz w:val="24"/>
                <w:szCs w:val="24"/>
              </w:rPr>
              <w:t>2.</w:t>
            </w:r>
            <w:r>
              <w:rPr>
                <w:sz w:val="24"/>
                <w:szCs w:val="24"/>
              </w:rPr>
              <w:t>供应商参与打造的省级课程思政示范课或示范中心，每提供一个得1.5分，最多得3分；供应商参与打造的国家级课程思政示范课或示范中心，每提供一个得2.5分。满分5分。（需提供课程页面截图、课程网址链接或示范中心网址链接，并加盖供应商公章，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27" w:type="dxa"/>
            <w:vMerge w:val="restart"/>
            <w:vAlign w:val="center"/>
          </w:tcPr>
          <w:p>
            <w:pPr>
              <w:pStyle w:val="78"/>
              <w:adjustRightInd w:val="0"/>
              <w:snapToGrid w:val="0"/>
              <w:jc w:val="center"/>
              <w:rPr>
                <w:rFonts w:ascii="宋体" w:hAnsi="宋体" w:cs="宋体"/>
                <w:sz w:val="24"/>
              </w:rPr>
            </w:pPr>
            <w:r>
              <w:rPr>
                <w:rFonts w:ascii="宋体" w:hAnsi="宋体" w:cs="宋体"/>
                <w:sz w:val="24"/>
              </w:rPr>
              <w:t>3</w:t>
            </w:r>
          </w:p>
        </w:tc>
        <w:tc>
          <w:tcPr>
            <w:tcW w:w="1883" w:type="dxa"/>
            <w:vAlign w:val="center"/>
          </w:tcPr>
          <w:p>
            <w:pPr>
              <w:pStyle w:val="78"/>
              <w:adjustRightInd w:val="0"/>
              <w:snapToGrid w:val="0"/>
              <w:jc w:val="center"/>
              <w:rPr>
                <w:rFonts w:ascii="宋体" w:hAnsi="宋体" w:cs="宋体"/>
                <w:sz w:val="24"/>
                <w:highlight w:val="yellow"/>
              </w:rPr>
            </w:pPr>
            <w:r>
              <w:rPr>
                <w:rFonts w:hint="eastAsia" w:ascii="宋体" w:hAnsi="Calibri"/>
                <w:kern w:val="0"/>
                <w:sz w:val="24"/>
              </w:rPr>
              <w:t>技术及服务指标（</w:t>
            </w:r>
            <w:r>
              <w:rPr>
                <w:rFonts w:ascii="宋体" w:hAnsi="Calibri"/>
                <w:kern w:val="0"/>
                <w:sz w:val="24"/>
              </w:rPr>
              <w:t>43</w:t>
            </w:r>
            <w:r>
              <w:rPr>
                <w:rFonts w:hint="eastAsia" w:ascii="宋体" w:hAnsi="Calibri"/>
                <w:kern w:val="0"/>
                <w:sz w:val="24"/>
              </w:rPr>
              <w:t>分）</w:t>
            </w:r>
          </w:p>
        </w:tc>
        <w:tc>
          <w:tcPr>
            <w:tcW w:w="7089" w:type="dxa"/>
          </w:tcPr>
          <w:p>
            <w:pPr>
              <w:widowControl/>
              <w:spacing w:line="400" w:lineRule="exact"/>
              <w:ind w:firstLine="480" w:firstLineChars="200"/>
              <w:rPr>
                <w:sz w:val="24"/>
                <w:szCs w:val="24"/>
              </w:rPr>
            </w:pPr>
            <w:r>
              <w:rPr>
                <w:rFonts w:hint="eastAsia"/>
                <w:sz w:val="24"/>
                <w:szCs w:val="24"/>
              </w:rPr>
              <w:t>1.完全满足技术、服务内容得</w:t>
            </w:r>
            <w:r>
              <w:rPr>
                <w:sz w:val="24"/>
                <w:szCs w:val="24"/>
              </w:rPr>
              <w:t>39</w:t>
            </w:r>
            <w:r>
              <w:rPr>
                <w:rFonts w:hint="eastAsia"/>
                <w:sz w:val="24"/>
                <w:szCs w:val="24"/>
              </w:rPr>
              <w:t>分：“▲”条款每个不满足者扣</w:t>
            </w:r>
            <w:r>
              <w:rPr>
                <w:sz w:val="24"/>
                <w:szCs w:val="24"/>
              </w:rPr>
              <w:t>2</w:t>
            </w:r>
            <w:r>
              <w:rPr>
                <w:rFonts w:hint="eastAsia"/>
                <w:sz w:val="24"/>
                <w:szCs w:val="24"/>
              </w:rPr>
              <w:t>分，直至本项分值扣完为止；每有一项非“▲”条款每个不满足者扣1分，直至本项分值扣完为止。（上述条款中有要求提供功能截图或证明材料的，需提供功能截图或证明材料并加盖供应商公章，否则作负偏离处理）</w:t>
            </w:r>
          </w:p>
          <w:p>
            <w:pPr>
              <w:pStyle w:val="78"/>
              <w:tabs>
                <w:tab w:val="left" w:pos="350"/>
              </w:tabs>
              <w:spacing w:before="6" w:line="440" w:lineRule="exact"/>
              <w:ind w:firstLine="480" w:firstLineChars="200"/>
              <w:rPr>
                <w:rFonts w:ascii="宋体" w:hAnsi="宋体" w:cs="宋体"/>
                <w:sz w:val="24"/>
              </w:rPr>
            </w:pPr>
            <w:r>
              <w:rPr>
                <w:rFonts w:ascii="宋体" w:hAnsi="宋体" w:cs="宋体"/>
                <w:sz w:val="24"/>
              </w:rPr>
              <w:t>2</w:t>
            </w:r>
            <w:r>
              <w:rPr>
                <w:rFonts w:hint="eastAsia" w:ascii="宋体" w:hAnsi="宋体" w:cs="宋体"/>
                <w:sz w:val="24"/>
              </w:rPr>
              <w:t>.投标人承诺能够满足“（十四）其他要求”得</w:t>
            </w:r>
            <w:r>
              <w:rPr>
                <w:rFonts w:ascii="宋体" w:hAnsi="宋体" w:cs="宋体"/>
                <w:sz w:val="24"/>
              </w:rPr>
              <w:t>4</w:t>
            </w:r>
            <w:r>
              <w:rPr>
                <w:rFonts w:hint="eastAsia" w:ascii="宋体" w:hAnsi="宋体" w:cs="宋体"/>
                <w:sz w:val="24"/>
              </w:rPr>
              <w:t>分,无承诺不得分。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727" w:type="dxa"/>
            <w:vMerge w:val="continue"/>
            <w:vAlign w:val="center"/>
          </w:tcPr>
          <w:p>
            <w:pPr>
              <w:pStyle w:val="78"/>
              <w:adjustRightInd w:val="0"/>
              <w:snapToGrid w:val="0"/>
              <w:jc w:val="center"/>
              <w:rPr>
                <w:rFonts w:ascii="宋体" w:hAnsi="宋体" w:cs="宋体"/>
                <w:sz w:val="24"/>
              </w:rPr>
            </w:pPr>
          </w:p>
        </w:tc>
        <w:tc>
          <w:tcPr>
            <w:tcW w:w="1883" w:type="dxa"/>
            <w:vAlign w:val="center"/>
          </w:tcPr>
          <w:p>
            <w:pPr>
              <w:pStyle w:val="78"/>
              <w:adjustRightInd w:val="0"/>
              <w:snapToGrid w:val="0"/>
              <w:jc w:val="center"/>
              <w:rPr>
                <w:rFonts w:ascii="宋体" w:hAnsi="宋体" w:cs="宋体"/>
                <w:sz w:val="24"/>
              </w:rPr>
            </w:pPr>
            <w:r>
              <w:rPr>
                <w:rFonts w:hint="eastAsia" w:ascii="宋体" w:hAnsi="宋体" w:cs="宋体"/>
                <w:sz w:val="24"/>
              </w:rPr>
              <w:t>实施方案及保障措施（</w:t>
            </w:r>
            <w:r>
              <w:rPr>
                <w:rFonts w:ascii="宋体" w:hAnsi="宋体" w:cs="宋体"/>
                <w:sz w:val="24"/>
              </w:rPr>
              <w:t>22</w:t>
            </w:r>
            <w:r>
              <w:rPr>
                <w:rFonts w:hint="eastAsia" w:ascii="宋体" w:hAnsi="宋体" w:cs="宋体"/>
                <w:sz w:val="24"/>
              </w:rPr>
              <w:t>分）</w:t>
            </w:r>
          </w:p>
        </w:tc>
        <w:tc>
          <w:tcPr>
            <w:tcW w:w="7089" w:type="dxa"/>
          </w:tcPr>
          <w:p>
            <w:pPr>
              <w:spacing w:line="480" w:lineRule="exact"/>
              <w:ind w:firstLine="480" w:firstLineChars="200"/>
              <w:rPr>
                <w:rFonts w:hAnsi="宋体" w:cs="宋体"/>
                <w:kern w:val="2"/>
                <w:sz w:val="24"/>
                <w:szCs w:val="24"/>
              </w:rPr>
            </w:pPr>
            <w:r>
              <w:rPr>
                <w:rFonts w:hAnsi="宋体" w:cs="宋体"/>
                <w:kern w:val="2"/>
                <w:sz w:val="24"/>
                <w:szCs w:val="24"/>
              </w:rPr>
              <w:t>1</w:t>
            </w:r>
            <w:r>
              <w:rPr>
                <w:rFonts w:hint="eastAsia" w:hAnsi="宋体" w:cs="宋体"/>
                <w:kern w:val="2"/>
                <w:sz w:val="24"/>
                <w:szCs w:val="24"/>
              </w:rPr>
              <w:t>.根据供应商提供的项目实施方案(包含1.课程设计；2.拍摄准备；3.课程拍摄；4.课程后期制作；5</w:t>
            </w:r>
            <w:r>
              <w:rPr>
                <w:sz w:val="24"/>
                <w:szCs w:val="24"/>
              </w:rPr>
              <w:t>.</w:t>
            </w:r>
            <w:r>
              <w:rPr>
                <w:rFonts w:hint="eastAsia"/>
                <w:sz w:val="24"/>
                <w:szCs w:val="24"/>
              </w:rPr>
              <w:t xml:space="preserve"> 课程运行推广</w:t>
            </w:r>
            <w:r>
              <w:rPr>
                <w:rFonts w:hint="eastAsia" w:hAnsi="宋体" w:cs="宋体"/>
                <w:kern w:val="2"/>
                <w:sz w:val="24"/>
                <w:szCs w:val="24"/>
              </w:rPr>
              <w:t>)进行综合评审。上述方案完整、内容描述详细、完全符合采购项目采购需求的得10分，以上方面每一处存在缺陷（缺陷指与项目实际情况不符或不满足项目需求或内容缺失）的扣2分，扣完本项分值为止。</w:t>
            </w:r>
          </w:p>
          <w:p>
            <w:pPr>
              <w:spacing w:line="480" w:lineRule="exact"/>
              <w:ind w:firstLine="480" w:firstLineChars="200"/>
              <w:rPr>
                <w:rFonts w:hAnsi="宋体" w:cs="宋体"/>
                <w:kern w:val="2"/>
                <w:sz w:val="24"/>
                <w:szCs w:val="24"/>
              </w:rPr>
            </w:pPr>
            <w:r>
              <w:rPr>
                <w:rFonts w:hAnsi="宋体" w:cs="宋体"/>
                <w:kern w:val="2"/>
                <w:sz w:val="24"/>
                <w:szCs w:val="24"/>
              </w:rPr>
              <w:t>2</w:t>
            </w:r>
            <w:r>
              <w:rPr>
                <w:rFonts w:hint="eastAsia" w:hAnsi="宋体" w:cs="宋体"/>
                <w:kern w:val="2"/>
                <w:sz w:val="24"/>
                <w:szCs w:val="24"/>
              </w:rPr>
              <w:t>.根据供应商拟投入本项目人员配置(包括但不限于:1.课程设计与制作团队;2.视频拍摄团队;3.视频制作团队;4.课程运行推广团队等) 进行综合评审。上述配置完整得</w:t>
            </w:r>
            <w:r>
              <w:rPr>
                <w:rFonts w:hAnsi="宋体" w:cs="宋体"/>
                <w:kern w:val="2"/>
                <w:sz w:val="24"/>
                <w:szCs w:val="24"/>
              </w:rPr>
              <w:t>6</w:t>
            </w:r>
            <w:r>
              <w:rPr>
                <w:rFonts w:hint="eastAsia" w:hAnsi="宋体" w:cs="宋体"/>
                <w:kern w:val="2"/>
                <w:sz w:val="24"/>
                <w:szCs w:val="24"/>
              </w:rPr>
              <w:t>分，以上方面每一处存在缺陷（缺陷指与项目实际情况不符或不满足项目需求或内容缺失）的扣</w:t>
            </w:r>
            <w:r>
              <w:rPr>
                <w:rFonts w:hAnsi="宋体" w:cs="宋体"/>
                <w:kern w:val="2"/>
                <w:sz w:val="24"/>
                <w:szCs w:val="24"/>
              </w:rPr>
              <w:t>1.5</w:t>
            </w:r>
            <w:r>
              <w:rPr>
                <w:rFonts w:hint="eastAsia" w:hAnsi="宋体" w:cs="宋体"/>
                <w:kern w:val="2"/>
                <w:sz w:val="24"/>
                <w:szCs w:val="24"/>
              </w:rPr>
              <w:t>分，扣完本项分值为止。</w:t>
            </w:r>
          </w:p>
          <w:p>
            <w:pPr>
              <w:spacing w:line="480" w:lineRule="exact"/>
              <w:ind w:firstLine="480" w:firstLineChars="200"/>
              <w:rPr>
                <w:rFonts w:hAnsi="宋体" w:cs="宋体"/>
                <w:kern w:val="2"/>
                <w:sz w:val="24"/>
                <w:szCs w:val="24"/>
              </w:rPr>
            </w:pPr>
            <w:r>
              <w:rPr>
                <w:rFonts w:hint="eastAsia" w:hAnsi="宋体" w:cs="宋体"/>
                <w:kern w:val="2"/>
                <w:sz w:val="24"/>
                <w:szCs w:val="24"/>
              </w:rPr>
              <w:t>3</w:t>
            </w:r>
            <w:r>
              <w:rPr>
                <w:rFonts w:hAnsi="宋体" w:cs="宋体"/>
                <w:kern w:val="2"/>
                <w:sz w:val="24"/>
                <w:szCs w:val="24"/>
              </w:rPr>
              <w:t>.</w:t>
            </w:r>
            <w:r>
              <w:rPr>
                <w:rFonts w:hint="eastAsia" w:hAnsi="宋体" w:cs="宋体"/>
                <w:kern w:val="2"/>
                <w:sz w:val="24"/>
                <w:szCs w:val="24"/>
              </w:rPr>
              <w:t>根据供应商拟投入本项目设备配置(包括但不限于:1.拍摄相关设备；2.工作区设备；3.软件配置；4.拍摄现场管理方案等)进行综合评审。上述配置完整得</w:t>
            </w:r>
            <w:r>
              <w:rPr>
                <w:rFonts w:hAnsi="宋体" w:cs="宋体"/>
                <w:kern w:val="2"/>
                <w:sz w:val="24"/>
                <w:szCs w:val="24"/>
              </w:rPr>
              <w:t>6</w:t>
            </w:r>
            <w:r>
              <w:rPr>
                <w:rFonts w:hint="eastAsia" w:hAnsi="宋体" w:cs="宋体"/>
                <w:kern w:val="2"/>
                <w:sz w:val="24"/>
                <w:szCs w:val="24"/>
              </w:rPr>
              <w:t>分，以上方面每一处存在缺陷（缺陷指与项目实际情况不符或不满足项目需求或内容缺失）的扣</w:t>
            </w:r>
            <w:r>
              <w:rPr>
                <w:rFonts w:hAnsi="宋体" w:cs="宋体"/>
                <w:kern w:val="2"/>
                <w:sz w:val="24"/>
                <w:szCs w:val="24"/>
              </w:rPr>
              <w:t>1.5</w:t>
            </w:r>
            <w:r>
              <w:rPr>
                <w:rFonts w:hint="eastAsia" w:hAnsi="宋体" w:cs="宋体"/>
                <w:kern w:val="2"/>
                <w:sz w:val="24"/>
                <w:szCs w:val="24"/>
              </w:rPr>
              <w:t>分，扣完本项分值为止。</w:t>
            </w:r>
          </w:p>
          <w:p>
            <w:pPr>
              <w:pStyle w:val="78"/>
              <w:tabs>
                <w:tab w:val="left" w:pos="350"/>
              </w:tabs>
              <w:spacing w:before="6" w:line="440" w:lineRule="exact"/>
              <w:ind w:firstLine="480" w:firstLineChars="200"/>
              <w:rPr>
                <w:rFonts w:ascii="宋体" w:hAnsi="宋体" w:cs="宋体"/>
                <w:sz w:val="24"/>
              </w:rPr>
            </w:pPr>
            <w:r>
              <w:rPr>
                <w:rFonts w:hint="eastAsia" w:ascii="宋体" w:hAnsi="宋体" w:cs="宋体"/>
                <w:sz w:val="24"/>
              </w:rPr>
              <w:t>（供应商提供团队人员清单，列出人员姓名、工作任务、性别、身份证号码、联系方式。不提供不得分。 提供设备清单(列明品牌、型号、数量)、现场图片等。不提供不得分。）</w:t>
            </w:r>
            <w:r>
              <w:rPr>
                <w:rFonts w:ascii="宋体" w:hAnsi="宋体" w:cs="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727" w:type="dxa"/>
            <w:vAlign w:val="center"/>
          </w:tcPr>
          <w:p>
            <w:pPr>
              <w:pStyle w:val="78"/>
              <w:adjustRightInd w:val="0"/>
              <w:snapToGrid w:val="0"/>
              <w:jc w:val="center"/>
              <w:rPr>
                <w:rFonts w:ascii="宋体" w:hAnsi="宋体" w:cs="宋体"/>
                <w:sz w:val="24"/>
              </w:rPr>
            </w:pPr>
            <w:r>
              <w:rPr>
                <w:rFonts w:hint="eastAsia" w:ascii="宋体" w:hAnsi="宋体" w:cs="宋体"/>
                <w:sz w:val="24"/>
              </w:rPr>
              <w:t>4</w:t>
            </w:r>
          </w:p>
        </w:tc>
        <w:tc>
          <w:tcPr>
            <w:tcW w:w="1883" w:type="dxa"/>
            <w:vAlign w:val="center"/>
          </w:tcPr>
          <w:p>
            <w:pPr>
              <w:pStyle w:val="78"/>
              <w:adjustRightInd w:val="0"/>
              <w:snapToGrid w:val="0"/>
              <w:jc w:val="center"/>
              <w:rPr>
                <w:rFonts w:ascii="宋体" w:hAnsi="Calibri"/>
                <w:kern w:val="0"/>
                <w:sz w:val="24"/>
              </w:rPr>
            </w:pPr>
            <w:r>
              <w:rPr>
                <w:rFonts w:hint="eastAsia" w:ascii="宋体" w:hAnsi="Calibri"/>
                <w:kern w:val="0"/>
                <w:sz w:val="24"/>
              </w:rPr>
              <w:t>履约能力（</w:t>
            </w:r>
            <w:r>
              <w:rPr>
                <w:rFonts w:ascii="宋体" w:hAnsi="Calibri"/>
                <w:kern w:val="0"/>
                <w:sz w:val="24"/>
              </w:rPr>
              <w:t>15</w:t>
            </w:r>
            <w:r>
              <w:rPr>
                <w:rFonts w:hint="eastAsia" w:ascii="宋体" w:hAnsi="Calibri"/>
                <w:kern w:val="0"/>
                <w:sz w:val="24"/>
              </w:rPr>
              <w:t>分）</w:t>
            </w:r>
          </w:p>
        </w:tc>
        <w:tc>
          <w:tcPr>
            <w:tcW w:w="7089" w:type="dxa"/>
          </w:tcPr>
          <w:p>
            <w:pPr>
              <w:adjustRightInd w:val="0"/>
              <w:ind w:firstLine="480" w:firstLineChars="200"/>
              <w:textAlignment w:val="baseline"/>
              <w:rPr>
                <w:sz w:val="24"/>
                <w:szCs w:val="24"/>
              </w:rPr>
            </w:pPr>
            <w:r>
              <w:rPr>
                <w:rFonts w:hint="eastAsia"/>
                <w:sz w:val="24"/>
                <w:szCs w:val="24"/>
              </w:rPr>
              <w:t>供应商具有A</w:t>
            </w:r>
            <w:r>
              <w:rPr>
                <w:sz w:val="24"/>
                <w:szCs w:val="24"/>
              </w:rPr>
              <w:t>AA</w:t>
            </w:r>
            <w:r>
              <w:rPr>
                <w:rFonts w:hint="eastAsia"/>
                <w:sz w:val="24"/>
                <w:szCs w:val="24"/>
              </w:rPr>
              <w:t>级信用等级证书、具有质量管理体系认证证书、具有智慧教学管理平台相关著作权登记证书、具有出版物经营许可证、具有广播电视节目制作经营许可证，每提供一个得</w:t>
            </w:r>
            <w:r>
              <w:rPr>
                <w:sz w:val="24"/>
                <w:szCs w:val="24"/>
              </w:rPr>
              <w:t>3</w:t>
            </w:r>
            <w:r>
              <w:rPr>
                <w:rFonts w:hint="eastAsia"/>
                <w:sz w:val="24"/>
                <w:szCs w:val="24"/>
              </w:rPr>
              <w:t>分，本项最多得1</w:t>
            </w:r>
            <w:r>
              <w:rPr>
                <w:sz w:val="24"/>
                <w:szCs w:val="24"/>
              </w:rPr>
              <w:t>5</w:t>
            </w:r>
            <w:r>
              <w:rPr>
                <w:rFonts w:hint="eastAsia"/>
                <w:sz w:val="24"/>
                <w:szCs w:val="24"/>
              </w:rPr>
              <w:t>分。（提供相关证明材料复印件加盖供应商公章）</w:t>
            </w:r>
          </w:p>
        </w:tc>
      </w:tr>
    </w:tbl>
    <w:p>
      <w:pPr>
        <w:rPr>
          <w:rFonts w:hAnsi="宋体" w:cs="宋体"/>
          <w:sz w:val="30"/>
          <w:szCs w:val="30"/>
        </w:rPr>
      </w:pPr>
    </w:p>
    <w:p>
      <w:pPr>
        <w:rPr>
          <w:rFonts w:hAnsi="宋体" w:cs="宋体"/>
          <w:sz w:val="30"/>
          <w:szCs w:val="30"/>
        </w:rPr>
      </w:pPr>
    </w:p>
    <w:p>
      <w:pPr>
        <w:pStyle w:val="2"/>
        <w:ind w:left="680" w:firstLine="680"/>
      </w:pPr>
    </w:p>
    <w:p>
      <w:pPr>
        <w:ind w:firstLine="3000" w:firstLineChars="1000"/>
        <w:rPr>
          <w:rFonts w:hAnsi="宋体" w:cs="宋体"/>
          <w:sz w:val="30"/>
          <w:szCs w:val="30"/>
        </w:rPr>
      </w:pPr>
    </w:p>
    <w:p>
      <w:pPr>
        <w:ind w:firstLine="3000" w:firstLineChars="1000"/>
        <w:rPr>
          <w:rFonts w:hAnsi="宋体" w:cs="宋体"/>
          <w:sz w:val="30"/>
          <w:szCs w:val="30"/>
        </w:rPr>
      </w:pPr>
    </w:p>
    <w:p>
      <w:pPr>
        <w:pStyle w:val="2"/>
        <w:ind w:left="680" w:firstLine="680"/>
      </w:pPr>
    </w:p>
    <w:p/>
    <w:p>
      <w:pPr>
        <w:pStyle w:val="2"/>
        <w:ind w:left="680" w:firstLine="680"/>
      </w:pPr>
    </w:p>
    <w:p>
      <w:pPr>
        <w:ind w:firstLine="3000" w:firstLineChars="1000"/>
        <w:rPr>
          <w:rFonts w:hAnsi="宋体" w:cs="宋体"/>
          <w:sz w:val="30"/>
          <w:szCs w:val="30"/>
        </w:rPr>
      </w:pPr>
    </w:p>
    <w:p>
      <w:pPr>
        <w:ind w:firstLine="3000" w:firstLineChars="1000"/>
        <w:rPr>
          <w:rFonts w:hAnsi="宋体" w:cs="宋体"/>
          <w:sz w:val="30"/>
          <w:szCs w:val="30"/>
        </w:rPr>
      </w:pPr>
      <w:r>
        <w:rPr>
          <w:rFonts w:hint="eastAsia" w:hAnsi="宋体" w:cs="宋体"/>
          <w:sz w:val="30"/>
          <w:szCs w:val="30"/>
        </w:rPr>
        <w:t>第六章 合同主要条款</w:t>
      </w:r>
    </w:p>
    <w:p>
      <w:pPr>
        <w:ind w:firstLine="3614" w:firstLineChars="1500"/>
      </w:pPr>
      <w:r>
        <w:rPr>
          <w:rFonts w:hint="eastAsia" w:ascii="Times New Roman" w:hAnsi="宋体" w:cs="宋体"/>
          <w:b/>
          <w:bCs/>
          <w:sz w:val="24"/>
          <w:szCs w:val="24"/>
        </w:rPr>
        <w:t>（双方协商签订</w:t>
      </w:r>
      <w:r>
        <w:rPr>
          <w:rFonts w:hint="eastAsia" w:ascii="Times New Roman" w:hAnsi="宋体" w:cs="宋体"/>
          <w:sz w:val="24"/>
          <w:szCs w:val="24"/>
        </w:rPr>
        <w:t>）</w:t>
      </w:r>
    </w:p>
    <w:p>
      <w:pPr>
        <w:snapToGrid w:val="0"/>
        <w:spacing w:line="360" w:lineRule="auto"/>
        <w:rPr>
          <w:rFonts w:hAnsi="宋体" w:cs="宋体"/>
          <w:sz w:val="24"/>
          <w:szCs w:val="24"/>
        </w:rPr>
      </w:pPr>
    </w:p>
    <w:sectPr>
      <w:pgSz w:w="11906" w:h="16838"/>
      <w:pgMar w:top="1083" w:right="1440" w:bottom="1083" w:left="1440" w:header="851" w:footer="992" w:gutter="0"/>
      <w:cols w:space="720" w:num="1"/>
      <w:docGrid w:type="lines" w:linePitch="4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4140"/>
        <w:tab w:val="clear" w:pos="830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4140"/>
        <w:tab w:val="clear" w:pos="8300"/>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8585" cy="280035"/>
              <wp:effectExtent l="0" t="0" r="5715" b="5715"/>
              <wp:wrapNone/>
              <wp:docPr id="3" name="矩形 1"/>
              <wp:cNvGraphicFramePr/>
              <a:graphic xmlns:a="http://schemas.openxmlformats.org/drawingml/2006/main">
                <a:graphicData uri="http://schemas.microsoft.com/office/word/2010/wordprocessingShape">
                  <wps:wsp>
                    <wps:cNvSpPr>
                      <a:spLocks noChangeArrowheads="1"/>
                    </wps:cNvSpPr>
                    <wps:spPr bwMode="auto">
                      <a:xfrm>
                        <a:off x="0" y="0"/>
                        <a:ext cx="10858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1" o:spid="_x0000_s1026" o:spt="1" style="position:absolute;left:0pt;margin-top:0pt;height:22.05pt;width:8.55pt;mso-position-horizontal:center;mso-position-horizontal-relative:margin;mso-wrap-style:none;z-index:251659264;mso-width-relative:page;mso-height-relative:page;" filled="f" stroked="f" coordsize="21600,21600" o:gfxdata="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0F47tEAAAADAQAADwAAAAAAAAABACAAAAAiAAAAZHJzL2Rvd25yZXYueG1s&#10;UEsBAhQAFAAAAAgAh07iQJabwZv/AQAA9QMAAA4AAAAAAAAAAQAgAAAAIAEAAGRycy9lMm9Eb2Mu&#10;eG1sUEsFBgAAAAAGAAYAWQEAAJE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4140"/>
        <w:tab w:val="clear" w:pos="8300"/>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22.05pt;width:17.05pt;mso-position-horizontal:center;mso-position-horizontal-relative:margin;mso-wrap-style:none;z-index:251660288;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AcC5A5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4140"/>
        <w:tab w:val="clear" w:pos="8300"/>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1" name="矩形 3"/>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27</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3" o:spid="_x0000_s1026" o:spt="1" style="position:absolute;left:0pt;margin-top:0pt;height:22.05pt;width:17.05pt;mso-position-horizontal:center;mso-position-horizontal-relative:margin;mso-wrap-style:none;z-index:251660288;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Ctraht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27</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rPr>
        <w:rFonts w:hAnsi="宋体"/>
      </w:rPr>
    </w:pPr>
    <w:r>
      <w:rPr>
        <w:rFonts w:hint="eastAsia" w:hAnsi="宋体"/>
      </w:rPr>
      <w:t>公共教学部课程思政建设</w:t>
    </w:r>
    <w:r>
      <w:rPr>
        <w:rFonts w:hint="eastAsia" w:hAnsi="宋体"/>
        <w:lang w:val="en-US" w:eastAsia="zh-CN"/>
      </w:rPr>
      <w:t>第2次</w:t>
    </w:r>
    <w:r>
      <w:rPr>
        <w:rFonts w:hint="eastAsia" w:hAnsi="宋体"/>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2"/>
      <w:numFmt w:val="decimal"/>
      <w:lvlText w:val="（%1）"/>
      <w:lvlJc w:val="left"/>
      <w:pPr>
        <w:ind w:left="1428" w:hanging="720"/>
      </w:pPr>
      <w:rPr>
        <w:rFonts w:hint="default"/>
        <w:lang w:val="en-US"/>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1">
    <w:nsid w:val="00000002"/>
    <w:multiLevelType w:val="multilevel"/>
    <w:tmpl w:val="00000002"/>
    <w:lvl w:ilvl="0" w:tentative="0">
      <w:start w:val="5"/>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4F282DAC"/>
    <w:multiLevelType w:val="singleLevel"/>
    <w:tmpl w:val="4F282DAC"/>
    <w:lvl w:ilvl="0" w:tentative="0">
      <w:start w:val="1"/>
      <w:numFmt w:val="chineseCounting"/>
      <w:suff w:val="nothing"/>
      <w:lvlText w:val="%1、"/>
      <w:lvlJc w:val="left"/>
      <w:rPr>
        <w:rFonts w:hint="eastAsi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237"/>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wNmI4ODVkOTI4MDU0N2JlOTE4OWZjNjc2YmI3OWQifQ=="/>
  </w:docVars>
  <w:rsids>
    <w:rsidRoot w:val="00172A27"/>
    <w:rsid w:val="0000130C"/>
    <w:rsid w:val="00001B4D"/>
    <w:rsid w:val="0001189E"/>
    <w:rsid w:val="00013F1F"/>
    <w:rsid w:val="00015B12"/>
    <w:rsid w:val="00015F31"/>
    <w:rsid w:val="00020591"/>
    <w:rsid w:val="00022579"/>
    <w:rsid w:val="000227F3"/>
    <w:rsid w:val="000300FA"/>
    <w:rsid w:val="000305B8"/>
    <w:rsid w:val="00034E6A"/>
    <w:rsid w:val="00037883"/>
    <w:rsid w:val="00040F92"/>
    <w:rsid w:val="000414D3"/>
    <w:rsid w:val="000476C7"/>
    <w:rsid w:val="00062B97"/>
    <w:rsid w:val="00074602"/>
    <w:rsid w:val="00083A44"/>
    <w:rsid w:val="000921E3"/>
    <w:rsid w:val="000955D2"/>
    <w:rsid w:val="000A1BAE"/>
    <w:rsid w:val="000B2D46"/>
    <w:rsid w:val="000C3891"/>
    <w:rsid w:val="000C53BC"/>
    <w:rsid w:val="000D3C29"/>
    <w:rsid w:val="000E3A51"/>
    <w:rsid w:val="000F0B31"/>
    <w:rsid w:val="00104D52"/>
    <w:rsid w:val="00111D52"/>
    <w:rsid w:val="00115F7B"/>
    <w:rsid w:val="0011612A"/>
    <w:rsid w:val="00126671"/>
    <w:rsid w:val="001269FA"/>
    <w:rsid w:val="00142405"/>
    <w:rsid w:val="001433DB"/>
    <w:rsid w:val="0014556F"/>
    <w:rsid w:val="00157635"/>
    <w:rsid w:val="00172A27"/>
    <w:rsid w:val="001816D1"/>
    <w:rsid w:val="00181E14"/>
    <w:rsid w:val="00185388"/>
    <w:rsid w:val="00194319"/>
    <w:rsid w:val="001943F1"/>
    <w:rsid w:val="001A1EDF"/>
    <w:rsid w:val="001A30C1"/>
    <w:rsid w:val="001A3304"/>
    <w:rsid w:val="001C4C5D"/>
    <w:rsid w:val="001D590C"/>
    <w:rsid w:val="001E077D"/>
    <w:rsid w:val="0021094F"/>
    <w:rsid w:val="002114B9"/>
    <w:rsid w:val="00213CF5"/>
    <w:rsid w:val="00214550"/>
    <w:rsid w:val="0021517F"/>
    <w:rsid w:val="00215D24"/>
    <w:rsid w:val="002222E6"/>
    <w:rsid w:val="00225FC9"/>
    <w:rsid w:val="00231CEA"/>
    <w:rsid w:val="00242F03"/>
    <w:rsid w:val="00252539"/>
    <w:rsid w:val="0025566C"/>
    <w:rsid w:val="002619F7"/>
    <w:rsid w:val="0027116E"/>
    <w:rsid w:val="002723FE"/>
    <w:rsid w:val="002740EE"/>
    <w:rsid w:val="00277088"/>
    <w:rsid w:val="002802D2"/>
    <w:rsid w:val="00280F89"/>
    <w:rsid w:val="002932A5"/>
    <w:rsid w:val="002945D4"/>
    <w:rsid w:val="00297578"/>
    <w:rsid w:val="002A6490"/>
    <w:rsid w:val="002F3A9D"/>
    <w:rsid w:val="00302533"/>
    <w:rsid w:val="00302BEB"/>
    <w:rsid w:val="00303BEC"/>
    <w:rsid w:val="0031337F"/>
    <w:rsid w:val="00314D2B"/>
    <w:rsid w:val="00315726"/>
    <w:rsid w:val="00315BFD"/>
    <w:rsid w:val="00324EA0"/>
    <w:rsid w:val="00330AB4"/>
    <w:rsid w:val="00333F18"/>
    <w:rsid w:val="003426C9"/>
    <w:rsid w:val="0034384C"/>
    <w:rsid w:val="003438E5"/>
    <w:rsid w:val="00351B66"/>
    <w:rsid w:val="0035599F"/>
    <w:rsid w:val="00356F68"/>
    <w:rsid w:val="00374997"/>
    <w:rsid w:val="00376338"/>
    <w:rsid w:val="0038282C"/>
    <w:rsid w:val="003844A8"/>
    <w:rsid w:val="00384840"/>
    <w:rsid w:val="00385E8B"/>
    <w:rsid w:val="003A3450"/>
    <w:rsid w:val="003A564F"/>
    <w:rsid w:val="003C2094"/>
    <w:rsid w:val="003C49AF"/>
    <w:rsid w:val="003D00DA"/>
    <w:rsid w:val="003D11A5"/>
    <w:rsid w:val="003D4974"/>
    <w:rsid w:val="003D6934"/>
    <w:rsid w:val="003E1BF9"/>
    <w:rsid w:val="003E2D70"/>
    <w:rsid w:val="003F4143"/>
    <w:rsid w:val="0040317E"/>
    <w:rsid w:val="0041087A"/>
    <w:rsid w:val="00412E90"/>
    <w:rsid w:val="00423D03"/>
    <w:rsid w:val="004250DD"/>
    <w:rsid w:val="004368FD"/>
    <w:rsid w:val="00450DBA"/>
    <w:rsid w:val="00451066"/>
    <w:rsid w:val="0046280F"/>
    <w:rsid w:val="00477BEA"/>
    <w:rsid w:val="00484F83"/>
    <w:rsid w:val="004856D2"/>
    <w:rsid w:val="00485779"/>
    <w:rsid w:val="004A0487"/>
    <w:rsid w:val="004A550E"/>
    <w:rsid w:val="004A58BA"/>
    <w:rsid w:val="004A603A"/>
    <w:rsid w:val="004B0DBB"/>
    <w:rsid w:val="004B6322"/>
    <w:rsid w:val="004D0C88"/>
    <w:rsid w:val="004E4B00"/>
    <w:rsid w:val="004E54D8"/>
    <w:rsid w:val="004F0192"/>
    <w:rsid w:val="004F3B9B"/>
    <w:rsid w:val="004F5512"/>
    <w:rsid w:val="004F718A"/>
    <w:rsid w:val="00510855"/>
    <w:rsid w:val="0051463D"/>
    <w:rsid w:val="00517148"/>
    <w:rsid w:val="00522931"/>
    <w:rsid w:val="00523D5E"/>
    <w:rsid w:val="00526EF1"/>
    <w:rsid w:val="00534CBB"/>
    <w:rsid w:val="00541E7A"/>
    <w:rsid w:val="00551968"/>
    <w:rsid w:val="005523F9"/>
    <w:rsid w:val="0055330A"/>
    <w:rsid w:val="00565D29"/>
    <w:rsid w:val="0057392A"/>
    <w:rsid w:val="0057670A"/>
    <w:rsid w:val="00577163"/>
    <w:rsid w:val="0058164F"/>
    <w:rsid w:val="00581EB4"/>
    <w:rsid w:val="00587168"/>
    <w:rsid w:val="00593373"/>
    <w:rsid w:val="005A011C"/>
    <w:rsid w:val="005A1491"/>
    <w:rsid w:val="005B51EA"/>
    <w:rsid w:val="005C0690"/>
    <w:rsid w:val="005D660E"/>
    <w:rsid w:val="005D76BC"/>
    <w:rsid w:val="005E686E"/>
    <w:rsid w:val="005F3651"/>
    <w:rsid w:val="005F6239"/>
    <w:rsid w:val="005F6D20"/>
    <w:rsid w:val="006076D0"/>
    <w:rsid w:val="006178E3"/>
    <w:rsid w:val="00620960"/>
    <w:rsid w:val="006317E0"/>
    <w:rsid w:val="00635F60"/>
    <w:rsid w:val="0064548D"/>
    <w:rsid w:val="00646F9E"/>
    <w:rsid w:val="00666B9F"/>
    <w:rsid w:val="00667782"/>
    <w:rsid w:val="0067044A"/>
    <w:rsid w:val="0067461D"/>
    <w:rsid w:val="006813F1"/>
    <w:rsid w:val="0068224E"/>
    <w:rsid w:val="00690CCE"/>
    <w:rsid w:val="00691F6C"/>
    <w:rsid w:val="00691FBB"/>
    <w:rsid w:val="006968FB"/>
    <w:rsid w:val="00696D89"/>
    <w:rsid w:val="006A04FB"/>
    <w:rsid w:val="006B3B23"/>
    <w:rsid w:val="006B5D0E"/>
    <w:rsid w:val="006B634A"/>
    <w:rsid w:val="006B64B2"/>
    <w:rsid w:val="006B797C"/>
    <w:rsid w:val="006C59D1"/>
    <w:rsid w:val="006C7451"/>
    <w:rsid w:val="006E3DDB"/>
    <w:rsid w:val="006F06EF"/>
    <w:rsid w:val="006F46D4"/>
    <w:rsid w:val="006F4716"/>
    <w:rsid w:val="00702D28"/>
    <w:rsid w:val="00712595"/>
    <w:rsid w:val="00720229"/>
    <w:rsid w:val="00722B66"/>
    <w:rsid w:val="00731735"/>
    <w:rsid w:val="00735003"/>
    <w:rsid w:val="00735742"/>
    <w:rsid w:val="00737A85"/>
    <w:rsid w:val="00740C17"/>
    <w:rsid w:val="007432C8"/>
    <w:rsid w:val="00764FE2"/>
    <w:rsid w:val="0076501E"/>
    <w:rsid w:val="00767976"/>
    <w:rsid w:val="00771D10"/>
    <w:rsid w:val="00781344"/>
    <w:rsid w:val="0078177F"/>
    <w:rsid w:val="00781CCB"/>
    <w:rsid w:val="00786217"/>
    <w:rsid w:val="007956B7"/>
    <w:rsid w:val="007C5D97"/>
    <w:rsid w:val="007D0792"/>
    <w:rsid w:val="007D1094"/>
    <w:rsid w:val="007D60BE"/>
    <w:rsid w:val="007E08AE"/>
    <w:rsid w:val="007E3542"/>
    <w:rsid w:val="007F62D2"/>
    <w:rsid w:val="00815FBB"/>
    <w:rsid w:val="00823CD6"/>
    <w:rsid w:val="008351A2"/>
    <w:rsid w:val="008465E2"/>
    <w:rsid w:val="00850AE8"/>
    <w:rsid w:val="0085182D"/>
    <w:rsid w:val="00852219"/>
    <w:rsid w:val="00854B0E"/>
    <w:rsid w:val="00861B35"/>
    <w:rsid w:val="00861D35"/>
    <w:rsid w:val="0086252A"/>
    <w:rsid w:val="008705D4"/>
    <w:rsid w:val="00871346"/>
    <w:rsid w:val="008721DC"/>
    <w:rsid w:val="008826E8"/>
    <w:rsid w:val="00893F3D"/>
    <w:rsid w:val="0089527E"/>
    <w:rsid w:val="008A3275"/>
    <w:rsid w:val="008A372A"/>
    <w:rsid w:val="008A733D"/>
    <w:rsid w:val="008A775B"/>
    <w:rsid w:val="008B3F4F"/>
    <w:rsid w:val="008B6A28"/>
    <w:rsid w:val="008B7849"/>
    <w:rsid w:val="008C4C5D"/>
    <w:rsid w:val="008D4B57"/>
    <w:rsid w:val="008E283A"/>
    <w:rsid w:val="008F1768"/>
    <w:rsid w:val="008F483A"/>
    <w:rsid w:val="008F5D03"/>
    <w:rsid w:val="00900A6F"/>
    <w:rsid w:val="00907738"/>
    <w:rsid w:val="009123FA"/>
    <w:rsid w:val="00916D1E"/>
    <w:rsid w:val="00927129"/>
    <w:rsid w:val="0093288F"/>
    <w:rsid w:val="00935B90"/>
    <w:rsid w:val="00947123"/>
    <w:rsid w:val="00953907"/>
    <w:rsid w:val="009541A1"/>
    <w:rsid w:val="00956AE4"/>
    <w:rsid w:val="00957FDB"/>
    <w:rsid w:val="00960833"/>
    <w:rsid w:val="00960E98"/>
    <w:rsid w:val="00964782"/>
    <w:rsid w:val="00972868"/>
    <w:rsid w:val="00975AC6"/>
    <w:rsid w:val="00983489"/>
    <w:rsid w:val="0098597A"/>
    <w:rsid w:val="009939CB"/>
    <w:rsid w:val="0099747D"/>
    <w:rsid w:val="009976EE"/>
    <w:rsid w:val="009A21CB"/>
    <w:rsid w:val="009B2D67"/>
    <w:rsid w:val="009B7EC9"/>
    <w:rsid w:val="009D1F47"/>
    <w:rsid w:val="009D23DB"/>
    <w:rsid w:val="009D4EE9"/>
    <w:rsid w:val="009E1130"/>
    <w:rsid w:val="009F639B"/>
    <w:rsid w:val="00A0208D"/>
    <w:rsid w:val="00A03414"/>
    <w:rsid w:val="00A06253"/>
    <w:rsid w:val="00A075C3"/>
    <w:rsid w:val="00A11CF0"/>
    <w:rsid w:val="00A13D90"/>
    <w:rsid w:val="00A2152A"/>
    <w:rsid w:val="00A23C2C"/>
    <w:rsid w:val="00A26126"/>
    <w:rsid w:val="00A27709"/>
    <w:rsid w:val="00A415A9"/>
    <w:rsid w:val="00A459B8"/>
    <w:rsid w:val="00A57A27"/>
    <w:rsid w:val="00A62532"/>
    <w:rsid w:val="00A65074"/>
    <w:rsid w:val="00A65676"/>
    <w:rsid w:val="00A659A2"/>
    <w:rsid w:val="00A7009A"/>
    <w:rsid w:val="00A8288C"/>
    <w:rsid w:val="00A83A88"/>
    <w:rsid w:val="00A92172"/>
    <w:rsid w:val="00A9666E"/>
    <w:rsid w:val="00AA1D32"/>
    <w:rsid w:val="00AA32F5"/>
    <w:rsid w:val="00AA4F6C"/>
    <w:rsid w:val="00AB1F36"/>
    <w:rsid w:val="00AB5A97"/>
    <w:rsid w:val="00AC35F4"/>
    <w:rsid w:val="00AE0E42"/>
    <w:rsid w:val="00AE5591"/>
    <w:rsid w:val="00B05B40"/>
    <w:rsid w:val="00B10AC3"/>
    <w:rsid w:val="00B35C4C"/>
    <w:rsid w:val="00B634A6"/>
    <w:rsid w:val="00B64942"/>
    <w:rsid w:val="00B92137"/>
    <w:rsid w:val="00BA023A"/>
    <w:rsid w:val="00BA04EB"/>
    <w:rsid w:val="00BA1E3F"/>
    <w:rsid w:val="00BA7A4D"/>
    <w:rsid w:val="00BB1824"/>
    <w:rsid w:val="00BB56BC"/>
    <w:rsid w:val="00BC4021"/>
    <w:rsid w:val="00BC52EB"/>
    <w:rsid w:val="00BC7DE2"/>
    <w:rsid w:val="00BD2B90"/>
    <w:rsid w:val="00BE0CDD"/>
    <w:rsid w:val="00BE3EDE"/>
    <w:rsid w:val="00BF30A0"/>
    <w:rsid w:val="00BF5C97"/>
    <w:rsid w:val="00BF6F90"/>
    <w:rsid w:val="00C06511"/>
    <w:rsid w:val="00C10464"/>
    <w:rsid w:val="00C11284"/>
    <w:rsid w:val="00C132F6"/>
    <w:rsid w:val="00C15F61"/>
    <w:rsid w:val="00C16CAE"/>
    <w:rsid w:val="00C17ECC"/>
    <w:rsid w:val="00C3181D"/>
    <w:rsid w:val="00C35C05"/>
    <w:rsid w:val="00C50C93"/>
    <w:rsid w:val="00C52250"/>
    <w:rsid w:val="00C54697"/>
    <w:rsid w:val="00C55CD0"/>
    <w:rsid w:val="00C70180"/>
    <w:rsid w:val="00C81C28"/>
    <w:rsid w:val="00C821FD"/>
    <w:rsid w:val="00C82454"/>
    <w:rsid w:val="00C82BBB"/>
    <w:rsid w:val="00C83A4C"/>
    <w:rsid w:val="00C8568F"/>
    <w:rsid w:val="00C8705B"/>
    <w:rsid w:val="00C93064"/>
    <w:rsid w:val="00C937B1"/>
    <w:rsid w:val="00CA64F2"/>
    <w:rsid w:val="00CB1E2C"/>
    <w:rsid w:val="00CB78BD"/>
    <w:rsid w:val="00CB7B63"/>
    <w:rsid w:val="00CC2948"/>
    <w:rsid w:val="00CC3621"/>
    <w:rsid w:val="00CC5987"/>
    <w:rsid w:val="00CC6ED4"/>
    <w:rsid w:val="00CD004D"/>
    <w:rsid w:val="00CD0453"/>
    <w:rsid w:val="00CD3D0C"/>
    <w:rsid w:val="00CD4587"/>
    <w:rsid w:val="00CE5482"/>
    <w:rsid w:val="00D0210B"/>
    <w:rsid w:val="00D21B10"/>
    <w:rsid w:val="00D339E0"/>
    <w:rsid w:val="00D40A36"/>
    <w:rsid w:val="00D40F38"/>
    <w:rsid w:val="00D41FFE"/>
    <w:rsid w:val="00D50452"/>
    <w:rsid w:val="00D57F33"/>
    <w:rsid w:val="00D60F7C"/>
    <w:rsid w:val="00D65F48"/>
    <w:rsid w:val="00D67F05"/>
    <w:rsid w:val="00D72148"/>
    <w:rsid w:val="00D76A4F"/>
    <w:rsid w:val="00D76C8E"/>
    <w:rsid w:val="00D81C14"/>
    <w:rsid w:val="00D84540"/>
    <w:rsid w:val="00D907DF"/>
    <w:rsid w:val="00D9414E"/>
    <w:rsid w:val="00D95408"/>
    <w:rsid w:val="00DA21B8"/>
    <w:rsid w:val="00DB3C91"/>
    <w:rsid w:val="00DC0447"/>
    <w:rsid w:val="00DC4377"/>
    <w:rsid w:val="00DC4A4A"/>
    <w:rsid w:val="00DC6D26"/>
    <w:rsid w:val="00DD2646"/>
    <w:rsid w:val="00DD26EF"/>
    <w:rsid w:val="00DE0AD4"/>
    <w:rsid w:val="00DE1587"/>
    <w:rsid w:val="00DE1B68"/>
    <w:rsid w:val="00DE4625"/>
    <w:rsid w:val="00DE761B"/>
    <w:rsid w:val="00DF6E1E"/>
    <w:rsid w:val="00E0134E"/>
    <w:rsid w:val="00E152F7"/>
    <w:rsid w:val="00E1616D"/>
    <w:rsid w:val="00E22C25"/>
    <w:rsid w:val="00E27570"/>
    <w:rsid w:val="00E34A15"/>
    <w:rsid w:val="00E44A52"/>
    <w:rsid w:val="00E56AF3"/>
    <w:rsid w:val="00E66D51"/>
    <w:rsid w:val="00E73B8A"/>
    <w:rsid w:val="00E742A7"/>
    <w:rsid w:val="00E76852"/>
    <w:rsid w:val="00E77F85"/>
    <w:rsid w:val="00E8706F"/>
    <w:rsid w:val="00E9576A"/>
    <w:rsid w:val="00EA3731"/>
    <w:rsid w:val="00EA6F1B"/>
    <w:rsid w:val="00EB505F"/>
    <w:rsid w:val="00EC14D2"/>
    <w:rsid w:val="00ED6EA0"/>
    <w:rsid w:val="00EE1B3C"/>
    <w:rsid w:val="00EF4DBE"/>
    <w:rsid w:val="00EF51D7"/>
    <w:rsid w:val="00EF7675"/>
    <w:rsid w:val="00F14C96"/>
    <w:rsid w:val="00F53608"/>
    <w:rsid w:val="00F604E1"/>
    <w:rsid w:val="00F75655"/>
    <w:rsid w:val="00F80326"/>
    <w:rsid w:val="00F82A64"/>
    <w:rsid w:val="00F86B39"/>
    <w:rsid w:val="00FA0D6E"/>
    <w:rsid w:val="00FB325C"/>
    <w:rsid w:val="00FC56B8"/>
    <w:rsid w:val="00FC5B97"/>
    <w:rsid w:val="00FC5BDA"/>
    <w:rsid w:val="00FC6A75"/>
    <w:rsid w:val="00FD07E4"/>
    <w:rsid w:val="00FD0A36"/>
    <w:rsid w:val="00FD2F96"/>
    <w:rsid w:val="00FE3048"/>
    <w:rsid w:val="00FF13B3"/>
    <w:rsid w:val="00FF26A4"/>
    <w:rsid w:val="00FF453E"/>
    <w:rsid w:val="00FF58B8"/>
    <w:rsid w:val="01181DD9"/>
    <w:rsid w:val="015B76C5"/>
    <w:rsid w:val="01630F53"/>
    <w:rsid w:val="016853DB"/>
    <w:rsid w:val="017C78FF"/>
    <w:rsid w:val="019C23B2"/>
    <w:rsid w:val="01A26E08"/>
    <w:rsid w:val="01B31FD7"/>
    <w:rsid w:val="01DA1E97"/>
    <w:rsid w:val="01E22B26"/>
    <w:rsid w:val="01E65CA9"/>
    <w:rsid w:val="01E96C2E"/>
    <w:rsid w:val="02335DA9"/>
    <w:rsid w:val="025340DF"/>
    <w:rsid w:val="02B15922"/>
    <w:rsid w:val="02BE378E"/>
    <w:rsid w:val="02DA64AD"/>
    <w:rsid w:val="03012F7E"/>
    <w:rsid w:val="03055CCB"/>
    <w:rsid w:val="030B000A"/>
    <w:rsid w:val="032A2ABD"/>
    <w:rsid w:val="032E14C4"/>
    <w:rsid w:val="03425F66"/>
    <w:rsid w:val="035A40AD"/>
    <w:rsid w:val="036A7B56"/>
    <w:rsid w:val="03731FB8"/>
    <w:rsid w:val="039446EB"/>
    <w:rsid w:val="039C537B"/>
    <w:rsid w:val="03A03D81"/>
    <w:rsid w:val="03D332D6"/>
    <w:rsid w:val="03F4702C"/>
    <w:rsid w:val="03FC2E16"/>
    <w:rsid w:val="041462BE"/>
    <w:rsid w:val="04467D92"/>
    <w:rsid w:val="044E519E"/>
    <w:rsid w:val="04641540"/>
    <w:rsid w:val="04647342"/>
    <w:rsid w:val="0473604C"/>
    <w:rsid w:val="04785FE3"/>
    <w:rsid w:val="04881B00"/>
    <w:rsid w:val="048C5EC7"/>
    <w:rsid w:val="04B425C4"/>
    <w:rsid w:val="04BA44CE"/>
    <w:rsid w:val="04D253F8"/>
    <w:rsid w:val="04DA3961"/>
    <w:rsid w:val="04E9501D"/>
    <w:rsid w:val="04EF6F26"/>
    <w:rsid w:val="05482E38"/>
    <w:rsid w:val="05665C6B"/>
    <w:rsid w:val="05EB5EC4"/>
    <w:rsid w:val="05FB28DB"/>
    <w:rsid w:val="06040728"/>
    <w:rsid w:val="062515BF"/>
    <w:rsid w:val="063901C2"/>
    <w:rsid w:val="06397DA9"/>
    <w:rsid w:val="065B3BFA"/>
    <w:rsid w:val="0664230B"/>
    <w:rsid w:val="069D7EE6"/>
    <w:rsid w:val="06AF3F0D"/>
    <w:rsid w:val="06B30602"/>
    <w:rsid w:val="06BE3C9E"/>
    <w:rsid w:val="06BF391E"/>
    <w:rsid w:val="06D0743C"/>
    <w:rsid w:val="06DB7966"/>
    <w:rsid w:val="06DE070F"/>
    <w:rsid w:val="06E3065B"/>
    <w:rsid w:val="070D149F"/>
    <w:rsid w:val="07407323"/>
    <w:rsid w:val="0750320D"/>
    <w:rsid w:val="07574AC3"/>
    <w:rsid w:val="0758192B"/>
    <w:rsid w:val="07A36030"/>
    <w:rsid w:val="07BA06BE"/>
    <w:rsid w:val="07DE6533"/>
    <w:rsid w:val="07DF17F7"/>
    <w:rsid w:val="07FD0DA7"/>
    <w:rsid w:val="080055AF"/>
    <w:rsid w:val="080C13C2"/>
    <w:rsid w:val="08380F8C"/>
    <w:rsid w:val="084D6DD4"/>
    <w:rsid w:val="084E78AD"/>
    <w:rsid w:val="085914C1"/>
    <w:rsid w:val="086552D4"/>
    <w:rsid w:val="086D0162"/>
    <w:rsid w:val="08747AEC"/>
    <w:rsid w:val="08822685"/>
    <w:rsid w:val="08870D0B"/>
    <w:rsid w:val="08BA49DD"/>
    <w:rsid w:val="08EC7733"/>
    <w:rsid w:val="092B1819"/>
    <w:rsid w:val="092E279E"/>
    <w:rsid w:val="09343398"/>
    <w:rsid w:val="093E2A38"/>
    <w:rsid w:val="0955045F"/>
    <w:rsid w:val="09580C0A"/>
    <w:rsid w:val="09F856EA"/>
    <w:rsid w:val="0A164C9A"/>
    <w:rsid w:val="0A3A19D7"/>
    <w:rsid w:val="0AD04A17"/>
    <w:rsid w:val="0AE465EC"/>
    <w:rsid w:val="0AF33383"/>
    <w:rsid w:val="0AF40E05"/>
    <w:rsid w:val="0AF8528D"/>
    <w:rsid w:val="0B0B0A2A"/>
    <w:rsid w:val="0B2631C5"/>
    <w:rsid w:val="0B8251F1"/>
    <w:rsid w:val="0BE85862"/>
    <w:rsid w:val="0C30660E"/>
    <w:rsid w:val="0C5A3BCF"/>
    <w:rsid w:val="0C5E25D5"/>
    <w:rsid w:val="0C9E14DE"/>
    <w:rsid w:val="0CA11F25"/>
    <w:rsid w:val="0CCB0A0B"/>
    <w:rsid w:val="0CEE478A"/>
    <w:rsid w:val="0CFA01E0"/>
    <w:rsid w:val="0D06536D"/>
    <w:rsid w:val="0D1158FC"/>
    <w:rsid w:val="0D1A078A"/>
    <w:rsid w:val="0D1D7190"/>
    <w:rsid w:val="0D3835BD"/>
    <w:rsid w:val="0D8536BD"/>
    <w:rsid w:val="0DC44BFF"/>
    <w:rsid w:val="0DDE5050"/>
    <w:rsid w:val="0DEA0E63"/>
    <w:rsid w:val="0E317059"/>
    <w:rsid w:val="0E4017EB"/>
    <w:rsid w:val="0E7D16D6"/>
    <w:rsid w:val="0E991F00"/>
    <w:rsid w:val="0E9D0906"/>
    <w:rsid w:val="0EA03F84"/>
    <w:rsid w:val="0EB4052B"/>
    <w:rsid w:val="0EBA5CB8"/>
    <w:rsid w:val="0EF21695"/>
    <w:rsid w:val="0F1550CD"/>
    <w:rsid w:val="0F2E087C"/>
    <w:rsid w:val="0F596ABB"/>
    <w:rsid w:val="0F5D0D44"/>
    <w:rsid w:val="0F6A005A"/>
    <w:rsid w:val="0FB04F4B"/>
    <w:rsid w:val="0FB6767A"/>
    <w:rsid w:val="0FCF7D7E"/>
    <w:rsid w:val="100E3442"/>
    <w:rsid w:val="10170173"/>
    <w:rsid w:val="103819AC"/>
    <w:rsid w:val="105656D9"/>
    <w:rsid w:val="10717512"/>
    <w:rsid w:val="10717588"/>
    <w:rsid w:val="109A294A"/>
    <w:rsid w:val="111A0C9A"/>
    <w:rsid w:val="1122192A"/>
    <w:rsid w:val="113C7F55"/>
    <w:rsid w:val="11440BE5"/>
    <w:rsid w:val="11811943"/>
    <w:rsid w:val="11885106"/>
    <w:rsid w:val="11AA4C3A"/>
    <w:rsid w:val="11AC3A8C"/>
    <w:rsid w:val="12255CD4"/>
    <w:rsid w:val="122E65E4"/>
    <w:rsid w:val="1252421A"/>
    <w:rsid w:val="128F7902"/>
    <w:rsid w:val="12AC1431"/>
    <w:rsid w:val="12F066A2"/>
    <w:rsid w:val="12F450A8"/>
    <w:rsid w:val="13045342"/>
    <w:rsid w:val="133D2F1E"/>
    <w:rsid w:val="13935EAB"/>
    <w:rsid w:val="13BD2572"/>
    <w:rsid w:val="13DB629F"/>
    <w:rsid w:val="14044EE5"/>
    <w:rsid w:val="142976A3"/>
    <w:rsid w:val="14580FCB"/>
    <w:rsid w:val="145B58F4"/>
    <w:rsid w:val="148876BD"/>
    <w:rsid w:val="149A4596"/>
    <w:rsid w:val="14A66C6D"/>
    <w:rsid w:val="14BC3B96"/>
    <w:rsid w:val="14EC73E1"/>
    <w:rsid w:val="152A4CC8"/>
    <w:rsid w:val="15364BBA"/>
    <w:rsid w:val="156D0C34"/>
    <w:rsid w:val="15756040"/>
    <w:rsid w:val="15796287"/>
    <w:rsid w:val="15B83632"/>
    <w:rsid w:val="15BC67B5"/>
    <w:rsid w:val="15D72862"/>
    <w:rsid w:val="15E9057E"/>
    <w:rsid w:val="15EB3A81"/>
    <w:rsid w:val="15EB7304"/>
    <w:rsid w:val="15F1340C"/>
    <w:rsid w:val="16387403"/>
    <w:rsid w:val="166D588D"/>
    <w:rsid w:val="167539E5"/>
    <w:rsid w:val="1694429A"/>
    <w:rsid w:val="16C95754"/>
    <w:rsid w:val="172F6697"/>
    <w:rsid w:val="17332B1E"/>
    <w:rsid w:val="17342109"/>
    <w:rsid w:val="173A446A"/>
    <w:rsid w:val="17550AD5"/>
    <w:rsid w:val="175C045F"/>
    <w:rsid w:val="176B30C3"/>
    <w:rsid w:val="1780519C"/>
    <w:rsid w:val="1784532C"/>
    <w:rsid w:val="17A553DC"/>
    <w:rsid w:val="17B0376D"/>
    <w:rsid w:val="17C77B0F"/>
    <w:rsid w:val="17DC4231"/>
    <w:rsid w:val="17E838C7"/>
    <w:rsid w:val="18104A8B"/>
    <w:rsid w:val="18147F52"/>
    <w:rsid w:val="18322A41"/>
    <w:rsid w:val="183E46C8"/>
    <w:rsid w:val="185E6D88"/>
    <w:rsid w:val="186C3B20"/>
    <w:rsid w:val="18825CC3"/>
    <w:rsid w:val="18A90101"/>
    <w:rsid w:val="19024013"/>
    <w:rsid w:val="19044F98"/>
    <w:rsid w:val="1910462E"/>
    <w:rsid w:val="19316345"/>
    <w:rsid w:val="19360FEA"/>
    <w:rsid w:val="19451A88"/>
    <w:rsid w:val="196056B2"/>
    <w:rsid w:val="19782D58"/>
    <w:rsid w:val="19B02EB2"/>
    <w:rsid w:val="19B83B42"/>
    <w:rsid w:val="19D4436C"/>
    <w:rsid w:val="1A306C84"/>
    <w:rsid w:val="1A3E5E28"/>
    <w:rsid w:val="1A4B0B32"/>
    <w:rsid w:val="1A7267F4"/>
    <w:rsid w:val="1A811BDF"/>
    <w:rsid w:val="1A8E28A0"/>
    <w:rsid w:val="1A98216B"/>
    <w:rsid w:val="1AA56775"/>
    <w:rsid w:val="1AAE7552"/>
    <w:rsid w:val="1ADD2620"/>
    <w:rsid w:val="1AEB73B7"/>
    <w:rsid w:val="1AED613D"/>
    <w:rsid w:val="1AFC1DF0"/>
    <w:rsid w:val="1B4A1EFB"/>
    <w:rsid w:val="1B685A87"/>
    <w:rsid w:val="1B6C0C0A"/>
    <w:rsid w:val="1B6D668B"/>
    <w:rsid w:val="1B835BE0"/>
    <w:rsid w:val="1B933D1E"/>
    <w:rsid w:val="1BA40417"/>
    <w:rsid w:val="1BC51582"/>
    <w:rsid w:val="1BDB6CBF"/>
    <w:rsid w:val="1BE453D0"/>
    <w:rsid w:val="1BEE3761"/>
    <w:rsid w:val="1C091D8D"/>
    <w:rsid w:val="1C7723C1"/>
    <w:rsid w:val="1C820752"/>
    <w:rsid w:val="1C993BFA"/>
    <w:rsid w:val="1CC41D1F"/>
    <w:rsid w:val="1CD714E1"/>
    <w:rsid w:val="1CDB5968"/>
    <w:rsid w:val="1CE56DF0"/>
    <w:rsid w:val="1CEA2747"/>
    <w:rsid w:val="1CF0217A"/>
    <w:rsid w:val="1D5133A9"/>
    <w:rsid w:val="1D5D3876"/>
    <w:rsid w:val="1D6F2FE0"/>
    <w:rsid w:val="1D722AE5"/>
    <w:rsid w:val="1D7B3732"/>
    <w:rsid w:val="1DBA1246"/>
    <w:rsid w:val="1E3D1A9F"/>
    <w:rsid w:val="1E5209CD"/>
    <w:rsid w:val="1E5660C5"/>
    <w:rsid w:val="1E574E55"/>
    <w:rsid w:val="1E6366E9"/>
    <w:rsid w:val="1E711282"/>
    <w:rsid w:val="1E7A630E"/>
    <w:rsid w:val="1ED46DCB"/>
    <w:rsid w:val="1ED50FA6"/>
    <w:rsid w:val="1F400656"/>
    <w:rsid w:val="1F535FF1"/>
    <w:rsid w:val="1F672A94"/>
    <w:rsid w:val="1F7D6E36"/>
    <w:rsid w:val="1F81583C"/>
    <w:rsid w:val="1FB13E0C"/>
    <w:rsid w:val="1FBE0F24"/>
    <w:rsid w:val="1FD01F30"/>
    <w:rsid w:val="2006711A"/>
    <w:rsid w:val="20142D95"/>
    <w:rsid w:val="202F6C59"/>
    <w:rsid w:val="203F776D"/>
    <w:rsid w:val="20580F11"/>
    <w:rsid w:val="207E5ADF"/>
    <w:rsid w:val="2093697E"/>
    <w:rsid w:val="209443FF"/>
    <w:rsid w:val="20C95348"/>
    <w:rsid w:val="20D14264"/>
    <w:rsid w:val="20E144FE"/>
    <w:rsid w:val="20E9518E"/>
    <w:rsid w:val="21207866"/>
    <w:rsid w:val="217C217E"/>
    <w:rsid w:val="21A223BE"/>
    <w:rsid w:val="21A3015D"/>
    <w:rsid w:val="21BC2F68"/>
    <w:rsid w:val="21D96C95"/>
    <w:rsid w:val="21DE0F1E"/>
    <w:rsid w:val="21E94D31"/>
    <w:rsid w:val="22004956"/>
    <w:rsid w:val="22077B64"/>
    <w:rsid w:val="223076A3"/>
    <w:rsid w:val="22445CAC"/>
    <w:rsid w:val="229009C2"/>
    <w:rsid w:val="229B2CBA"/>
    <w:rsid w:val="230C2B7A"/>
    <w:rsid w:val="232C45F5"/>
    <w:rsid w:val="23574571"/>
    <w:rsid w:val="235C138F"/>
    <w:rsid w:val="23A52A88"/>
    <w:rsid w:val="23C478CF"/>
    <w:rsid w:val="23C8654A"/>
    <w:rsid w:val="23D93E78"/>
    <w:rsid w:val="23DB76DF"/>
    <w:rsid w:val="2431266C"/>
    <w:rsid w:val="245965D5"/>
    <w:rsid w:val="247B506A"/>
    <w:rsid w:val="24AE0D3C"/>
    <w:rsid w:val="251251DD"/>
    <w:rsid w:val="25267701"/>
    <w:rsid w:val="25392E9F"/>
    <w:rsid w:val="253B7A11"/>
    <w:rsid w:val="254060AD"/>
    <w:rsid w:val="25556F4C"/>
    <w:rsid w:val="25A14E4D"/>
    <w:rsid w:val="25BC3478"/>
    <w:rsid w:val="26066D6F"/>
    <w:rsid w:val="261C0F13"/>
    <w:rsid w:val="261E7C99"/>
    <w:rsid w:val="263465BA"/>
    <w:rsid w:val="26365340"/>
    <w:rsid w:val="26770328"/>
    <w:rsid w:val="268044BB"/>
    <w:rsid w:val="26842EC1"/>
    <w:rsid w:val="26924756"/>
    <w:rsid w:val="269363C3"/>
    <w:rsid w:val="26B149A9"/>
    <w:rsid w:val="26D12FC0"/>
    <w:rsid w:val="26E25459"/>
    <w:rsid w:val="26E32EDA"/>
    <w:rsid w:val="26FE3DD4"/>
    <w:rsid w:val="2701728E"/>
    <w:rsid w:val="272557B3"/>
    <w:rsid w:val="27547C5E"/>
    <w:rsid w:val="27683133"/>
    <w:rsid w:val="27777ECB"/>
    <w:rsid w:val="278E3373"/>
    <w:rsid w:val="27A27E15"/>
    <w:rsid w:val="27A6429D"/>
    <w:rsid w:val="27E078FA"/>
    <w:rsid w:val="28046835"/>
    <w:rsid w:val="281B09D9"/>
    <w:rsid w:val="281B645A"/>
    <w:rsid w:val="28431558"/>
    <w:rsid w:val="28673056"/>
    <w:rsid w:val="28883996"/>
    <w:rsid w:val="28E726AB"/>
    <w:rsid w:val="290968DD"/>
    <w:rsid w:val="290D66EE"/>
    <w:rsid w:val="293C4333"/>
    <w:rsid w:val="293D5638"/>
    <w:rsid w:val="295918A1"/>
    <w:rsid w:val="2969197F"/>
    <w:rsid w:val="2970130A"/>
    <w:rsid w:val="29857C3C"/>
    <w:rsid w:val="2A0C1188"/>
    <w:rsid w:val="2A16531B"/>
    <w:rsid w:val="2A17081E"/>
    <w:rsid w:val="2A4E2EF7"/>
    <w:rsid w:val="2A75287D"/>
    <w:rsid w:val="2A7917BC"/>
    <w:rsid w:val="2A982071"/>
    <w:rsid w:val="2ABD7C60"/>
    <w:rsid w:val="2B5B432E"/>
    <w:rsid w:val="2B9D3E9D"/>
    <w:rsid w:val="2BC517DF"/>
    <w:rsid w:val="2BCF20EE"/>
    <w:rsid w:val="2BD74F7C"/>
    <w:rsid w:val="2BE07E0A"/>
    <w:rsid w:val="2C0F0959"/>
    <w:rsid w:val="2C1A6CEA"/>
    <w:rsid w:val="2C202DF2"/>
    <w:rsid w:val="2C594D78"/>
    <w:rsid w:val="2C61165D"/>
    <w:rsid w:val="2C74067E"/>
    <w:rsid w:val="2C784B05"/>
    <w:rsid w:val="2C952DB1"/>
    <w:rsid w:val="2C9F1142"/>
    <w:rsid w:val="2CB126E1"/>
    <w:rsid w:val="2CB35BE4"/>
    <w:rsid w:val="2CB8206C"/>
    <w:rsid w:val="2CC1297B"/>
    <w:rsid w:val="2D121481"/>
    <w:rsid w:val="2D3D5B48"/>
    <w:rsid w:val="2D431C50"/>
    <w:rsid w:val="2D5A1875"/>
    <w:rsid w:val="2D5A7676"/>
    <w:rsid w:val="2D5C4D78"/>
    <w:rsid w:val="2D680B8A"/>
    <w:rsid w:val="2D6E0259"/>
    <w:rsid w:val="2D872B3B"/>
    <w:rsid w:val="2D963C58"/>
    <w:rsid w:val="2DB3100A"/>
    <w:rsid w:val="2DB81C0E"/>
    <w:rsid w:val="2DC0289E"/>
    <w:rsid w:val="2E033291"/>
    <w:rsid w:val="2E246D3F"/>
    <w:rsid w:val="2E316055"/>
    <w:rsid w:val="2E521E0D"/>
    <w:rsid w:val="2E5C265F"/>
    <w:rsid w:val="2E5D6548"/>
    <w:rsid w:val="2E870FE2"/>
    <w:rsid w:val="2EF67098"/>
    <w:rsid w:val="2F043E2F"/>
    <w:rsid w:val="2F31727D"/>
    <w:rsid w:val="2F5B483E"/>
    <w:rsid w:val="2FDE4E17"/>
    <w:rsid w:val="300A115E"/>
    <w:rsid w:val="301F08EA"/>
    <w:rsid w:val="303D7F63"/>
    <w:rsid w:val="306B5D4B"/>
    <w:rsid w:val="30711E07"/>
    <w:rsid w:val="30792A97"/>
    <w:rsid w:val="30817EA3"/>
    <w:rsid w:val="308952B0"/>
    <w:rsid w:val="308D3CB6"/>
    <w:rsid w:val="3091571B"/>
    <w:rsid w:val="30A30058"/>
    <w:rsid w:val="30AC7C7A"/>
    <w:rsid w:val="30E80B4C"/>
    <w:rsid w:val="312B28BA"/>
    <w:rsid w:val="312F34BF"/>
    <w:rsid w:val="313C4D53"/>
    <w:rsid w:val="314C0871"/>
    <w:rsid w:val="31575E16"/>
    <w:rsid w:val="317503B0"/>
    <w:rsid w:val="319A2078"/>
    <w:rsid w:val="319D7376"/>
    <w:rsid w:val="31B02B14"/>
    <w:rsid w:val="31F631C3"/>
    <w:rsid w:val="320A1F29"/>
    <w:rsid w:val="320F2B2D"/>
    <w:rsid w:val="32106030"/>
    <w:rsid w:val="32424199"/>
    <w:rsid w:val="324D5E95"/>
    <w:rsid w:val="326D0948"/>
    <w:rsid w:val="329F430C"/>
    <w:rsid w:val="32B87F45"/>
    <w:rsid w:val="32CC1FE7"/>
    <w:rsid w:val="32D94927"/>
    <w:rsid w:val="32E95D13"/>
    <w:rsid w:val="336268C9"/>
    <w:rsid w:val="33701470"/>
    <w:rsid w:val="337558F7"/>
    <w:rsid w:val="33BB6CF3"/>
    <w:rsid w:val="33BE2874"/>
    <w:rsid w:val="33E85C36"/>
    <w:rsid w:val="33E97114"/>
    <w:rsid w:val="342966A0"/>
    <w:rsid w:val="342B1BA3"/>
    <w:rsid w:val="34475748"/>
    <w:rsid w:val="34660AD0"/>
    <w:rsid w:val="346A4F0B"/>
    <w:rsid w:val="346E7194"/>
    <w:rsid w:val="348801E5"/>
    <w:rsid w:val="349C184B"/>
    <w:rsid w:val="34A15065"/>
    <w:rsid w:val="34B465B6"/>
    <w:rsid w:val="34E735DB"/>
    <w:rsid w:val="34EC41DF"/>
    <w:rsid w:val="34FB4DBF"/>
    <w:rsid w:val="350F11E8"/>
    <w:rsid w:val="35366BDD"/>
    <w:rsid w:val="356B3AE7"/>
    <w:rsid w:val="35915FF2"/>
    <w:rsid w:val="35A230B5"/>
    <w:rsid w:val="35A23D0E"/>
    <w:rsid w:val="35DE2F0C"/>
    <w:rsid w:val="35F36F90"/>
    <w:rsid w:val="35FE2DA3"/>
    <w:rsid w:val="36374475"/>
    <w:rsid w:val="3696201C"/>
    <w:rsid w:val="36973514"/>
    <w:rsid w:val="36C572E8"/>
    <w:rsid w:val="36C727EB"/>
    <w:rsid w:val="36E01197"/>
    <w:rsid w:val="371428EB"/>
    <w:rsid w:val="3720417F"/>
    <w:rsid w:val="37266088"/>
    <w:rsid w:val="372C44B0"/>
    <w:rsid w:val="37537E51"/>
    <w:rsid w:val="37564659"/>
    <w:rsid w:val="37712C84"/>
    <w:rsid w:val="379263CB"/>
    <w:rsid w:val="37982063"/>
    <w:rsid w:val="37A36CD7"/>
    <w:rsid w:val="37AA39B1"/>
    <w:rsid w:val="37B0262F"/>
    <w:rsid w:val="37BE7480"/>
    <w:rsid w:val="37EA4BED"/>
    <w:rsid w:val="37F00FD4"/>
    <w:rsid w:val="38196915"/>
    <w:rsid w:val="381F62A0"/>
    <w:rsid w:val="38225026"/>
    <w:rsid w:val="38321B78"/>
    <w:rsid w:val="385122F2"/>
    <w:rsid w:val="385D1988"/>
    <w:rsid w:val="386A541B"/>
    <w:rsid w:val="38777FB4"/>
    <w:rsid w:val="387F1B3D"/>
    <w:rsid w:val="38822AC1"/>
    <w:rsid w:val="388572C9"/>
    <w:rsid w:val="38D73850"/>
    <w:rsid w:val="39093C9F"/>
    <w:rsid w:val="391E6B91"/>
    <w:rsid w:val="394E4794"/>
    <w:rsid w:val="39916502"/>
    <w:rsid w:val="39A62C24"/>
    <w:rsid w:val="39BC6E71"/>
    <w:rsid w:val="39ED5597"/>
    <w:rsid w:val="3A201269"/>
    <w:rsid w:val="3A22476C"/>
    <w:rsid w:val="3A5D0BDB"/>
    <w:rsid w:val="3A5F086E"/>
    <w:rsid w:val="3A883217"/>
    <w:rsid w:val="3A941228"/>
    <w:rsid w:val="3A992100"/>
    <w:rsid w:val="3AC6527A"/>
    <w:rsid w:val="3B063AE5"/>
    <w:rsid w:val="3B0A1D81"/>
    <w:rsid w:val="3B251A37"/>
    <w:rsid w:val="3B806D64"/>
    <w:rsid w:val="3BB1414D"/>
    <w:rsid w:val="3BBF5492"/>
    <w:rsid w:val="3BED2ADE"/>
    <w:rsid w:val="3C045F86"/>
    <w:rsid w:val="3C0A7E90"/>
    <w:rsid w:val="3C2A4B41"/>
    <w:rsid w:val="3C317D4F"/>
    <w:rsid w:val="3C3E7065"/>
    <w:rsid w:val="3C62051E"/>
    <w:rsid w:val="3C9660A1"/>
    <w:rsid w:val="3CD54FDA"/>
    <w:rsid w:val="3CEE0102"/>
    <w:rsid w:val="3CFD619E"/>
    <w:rsid w:val="3D246E8B"/>
    <w:rsid w:val="3D313175"/>
    <w:rsid w:val="3D72615D"/>
    <w:rsid w:val="3D822D1E"/>
    <w:rsid w:val="3D8E5880"/>
    <w:rsid w:val="3DA87AD2"/>
    <w:rsid w:val="3DA962B7"/>
    <w:rsid w:val="3DDF0D0F"/>
    <w:rsid w:val="3DEE3528"/>
    <w:rsid w:val="3DF379B0"/>
    <w:rsid w:val="3DF52EB3"/>
    <w:rsid w:val="3DFD5D41"/>
    <w:rsid w:val="3E040F4F"/>
    <w:rsid w:val="3E667CEF"/>
    <w:rsid w:val="3E706080"/>
    <w:rsid w:val="3E900B33"/>
    <w:rsid w:val="3E9C23C7"/>
    <w:rsid w:val="3EAF5B65"/>
    <w:rsid w:val="3EEE694E"/>
    <w:rsid w:val="3F1E169C"/>
    <w:rsid w:val="3F5301DE"/>
    <w:rsid w:val="3F5C2D71"/>
    <w:rsid w:val="3F7755AE"/>
    <w:rsid w:val="3F954B5E"/>
    <w:rsid w:val="3FBD249F"/>
    <w:rsid w:val="3FF461FC"/>
    <w:rsid w:val="3FF82684"/>
    <w:rsid w:val="40464981"/>
    <w:rsid w:val="40562A1D"/>
    <w:rsid w:val="406A2535"/>
    <w:rsid w:val="406E00C4"/>
    <w:rsid w:val="40741FCD"/>
    <w:rsid w:val="40957F84"/>
    <w:rsid w:val="409C7F95"/>
    <w:rsid w:val="40B21AB2"/>
    <w:rsid w:val="41331DD1"/>
    <w:rsid w:val="41333305"/>
    <w:rsid w:val="415006B7"/>
    <w:rsid w:val="415C0D58"/>
    <w:rsid w:val="419249A3"/>
    <w:rsid w:val="41957B26"/>
    <w:rsid w:val="419868AD"/>
    <w:rsid w:val="4199652C"/>
    <w:rsid w:val="419F4B9D"/>
    <w:rsid w:val="41B403DB"/>
    <w:rsid w:val="42014C57"/>
    <w:rsid w:val="42307D25"/>
    <w:rsid w:val="425B65EB"/>
    <w:rsid w:val="42C76F9F"/>
    <w:rsid w:val="42CC5625"/>
    <w:rsid w:val="42D2752E"/>
    <w:rsid w:val="43296B6C"/>
    <w:rsid w:val="436239D7"/>
    <w:rsid w:val="436832A5"/>
    <w:rsid w:val="43C97374"/>
    <w:rsid w:val="43CE2645"/>
    <w:rsid w:val="43EC5A7C"/>
    <w:rsid w:val="44146C41"/>
    <w:rsid w:val="44491031"/>
    <w:rsid w:val="44524527"/>
    <w:rsid w:val="445F7FB9"/>
    <w:rsid w:val="4468449B"/>
    <w:rsid w:val="446B2085"/>
    <w:rsid w:val="447E4FEB"/>
    <w:rsid w:val="448623F7"/>
    <w:rsid w:val="448C15B9"/>
    <w:rsid w:val="449B1E65"/>
    <w:rsid w:val="44D16FF4"/>
    <w:rsid w:val="44EA599F"/>
    <w:rsid w:val="45050ABD"/>
    <w:rsid w:val="45206C3C"/>
    <w:rsid w:val="45225AF9"/>
    <w:rsid w:val="456B24AD"/>
    <w:rsid w:val="456C5311"/>
    <w:rsid w:val="459F0946"/>
    <w:rsid w:val="45A324F9"/>
    <w:rsid w:val="45C75F46"/>
    <w:rsid w:val="45CA500D"/>
    <w:rsid w:val="45EF19CA"/>
    <w:rsid w:val="46117980"/>
    <w:rsid w:val="462640A2"/>
    <w:rsid w:val="462A632B"/>
    <w:rsid w:val="462E6F30"/>
    <w:rsid w:val="4679192E"/>
    <w:rsid w:val="468E7B13"/>
    <w:rsid w:val="46CA0433"/>
    <w:rsid w:val="46CE1038"/>
    <w:rsid w:val="46D77749"/>
    <w:rsid w:val="46EF6F8D"/>
    <w:rsid w:val="46F6477A"/>
    <w:rsid w:val="47064A15"/>
    <w:rsid w:val="47220AC2"/>
    <w:rsid w:val="472A5ECE"/>
    <w:rsid w:val="472F2356"/>
    <w:rsid w:val="47380A67"/>
    <w:rsid w:val="47421E40"/>
    <w:rsid w:val="474B1C86"/>
    <w:rsid w:val="474E2C0B"/>
    <w:rsid w:val="47626028"/>
    <w:rsid w:val="47656FAD"/>
    <w:rsid w:val="47670FEE"/>
    <w:rsid w:val="47B76948"/>
    <w:rsid w:val="47B76DB7"/>
    <w:rsid w:val="47DD73E9"/>
    <w:rsid w:val="47E0217A"/>
    <w:rsid w:val="47E64083"/>
    <w:rsid w:val="480B0A3F"/>
    <w:rsid w:val="485F6737"/>
    <w:rsid w:val="486731C6"/>
    <w:rsid w:val="48775B70"/>
    <w:rsid w:val="487A2378"/>
    <w:rsid w:val="4891671A"/>
    <w:rsid w:val="48931F3C"/>
    <w:rsid w:val="48B05EC6"/>
    <w:rsid w:val="48F54240"/>
    <w:rsid w:val="48FE27EA"/>
    <w:rsid w:val="490152F9"/>
    <w:rsid w:val="49092EE1"/>
    <w:rsid w:val="490948F4"/>
    <w:rsid w:val="4942653E"/>
    <w:rsid w:val="49512C42"/>
    <w:rsid w:val="4966327A"/>
    <w:rsid w:val="496C5184"/>
    <w:rsid w:val="497E7EEE"/>
    <w:rsid w:val="49963DC9"/>
    <w:rsid w:val="499D5953"/>
    <w:rsid w:val="49A330DF"/>
    <w:rsid w:val="49A91765"/>
    <w:rsid w:val="49AB3298"/>
    <w:rsid w:val="49C16E0C"/>
    <w:rsid w:val="49C820BA"/>
    <w:rsid w:val="4A152119"/>
    <w:rsid w:val="4A1C3CA2"/>
    <w:rsid w:val="4A5B32E8"/>
    <w:rsid w:val="4A7346B1"/>
    <w:rsid w:val="4A7843BC"/>
    <w:rsid w:val="4A8017C9"/>
    <w:rsid w:val="4A8E6560"/>
    <w:rsid w:val="4AA13287"/>
    <w:rsid w:val="4AC12232"/>
    <w:rsid w:val="4AC72371"/>
    <w:rsid w:val="4B1E4B4A"/>
    <w:rsid w:val="4B3734F6"/>
    <w:rsid w:val="4B383175"/>
    <w:rsid w:val="4B6F10D1"/>
    <w:rsid w:val="4BAA21AF"/>
    <w:rsid w:val="4BAB7C31"/>
    <w:rsid w:val="4C250016"/>
    <w:rsid w:val="4C5C7A55"/>
    <w:rsid w:val="4C8E3AA7"/>
    <w:rsid w:val="4CB14F60"/>
    <w:rsid w:val="4CB95DDF"/>
    <w:rsid w:val="4CBC6B75"/>
    <w:rsid w:val="4CBD45F6"/>
    <w:rsid w:val="4CCD4891"/>
    <w:rsid w:val="4CFA2DD6"/>
    <w:rsid w:val="4D0C4A13"/>
    <w:rsid w:val="4D490E08"/>
    <w:rsid w:val="4DBB6CE0"/>
    <w:rsid w:val="4DC062CE"/>
    <w:rsid w:val="4DC34742"/>
    <w:rsid w:val="4DF30DF0"/>
    <w:rsid w:val="4DF420F5"/>
    <w:rsid w:val="4E001A1B"/>
    <w:rsid w:val="4E077A90"/>
    <w:rsid w:val="4E19322E"/>
    <w:rsid w:val="4E2F31D3"/>
    <w:rsid w:val="4E7A454C"/>
    <w:rsid w:val="4E914171"/>
    <w:rsid w:val="4EB621B3"/>
    <w:rsid w:val="4EBF34EE"/>
    <w:rsid w:val="4F01352B"/>
    <w:rsid w:val="4F124ACB"/>
    <w:rsid w:val="4F3A6B88"/>
    <w:rsid w:val="4F4D42D8"/>
    <w:rsid w:val="4F700845"/>
    <w:rsid w:val="4F9F2130"/>
    <w:rsid w:val="4F9F5BD3"/>
    <w:rsid w:val="4FFD5B90"/>
    <w:rsid w:val="50651CDA"/>
    <w:rsid w:val="50B4121E"/>
    <w:rsid w:val="50DA6423"/>
    <w:rsid w:val="50E86BA6"/>
    <w:rsid w:val="5109751A"/>
    <w:rsid w:val="514A216C"/>
    <w:rsid w:val="51594984"/>
    <w:rsid w:val="51AC153D"/>
    <w:rsid w:val="51DE0461"/>
    <w:rsid w:val="51E754ED"/>
    <w:rsid w:val="51F46D81"/>
    <w:rsid w:val="521066B1"/>
    <w:rsid w:val="52116C97"/>
    <w:rsid w:val="522917DA"/>
    <w:rsid w:val="522D01E0"/>
    <w:rsid w:val="524E3F98"/>
    <w:rsid w:val="526D31C8"/>
    <w:rsid w:val="52964CB1"/>
    <w:rsid w:val="52AA302D"/>
    <w:rsid w:val="52AA68B0"/>
    <w:rsid w:val="52AC6530"/>
    <w:rsid w:val="52B513BE"/>
    <w:rsid w:val="52BB0D49"/>
    <w:rsid w:val="52C319D8"/>
    <w:rsid w:val="52F23421"/>
    <w:rsid w:val="52F7312C"/>
    <w:rsid w:val="53406363"/>
    <w:rsid w:val="53614D5A"/>
    <w:rsid w:val="53DF5628"/>
    <w:rsid w:val="53F6304F"/>
    <w:rsid w:val="54103BF9"/>
    <w:rsid w:val="542776F4"/>
    <w:rsid w:val="544817D4"/>
    <w:rsid w:val="547F7730"/>
    <w:rsid w:val="548B5741"/>
    <w:rsid w:val="54A705E0"/>
    <w:rsid w:val="54C02717"/>
    <w:rsid w:val="54C620A2"/>
    <w:rsid w:val="54D21907"/>
    <w:rsid w:val="54E028C4"/>
    <w:rsid w:val="54FA15F8"/>
    <w:rsid w:val="54FF3501"/>
    <w:rsid w:val="55023A07"/>
    <w:rsid w:val="550F159D"/>
    <w:rsid w:val="552B7848"/>
    <w:rsid w:val="55373232"/>
    <w:rsid w:val="55401D6C"/>
    <w:rsid w:val="55454EF7"/>
    <w:rsid w:val="555723A7"/>
    <w:rsid w:val="55867A33"/>
    <w:rsid w:val="55893465"/>
    <w:rsid w:val="55922A70"/>
    <w:rsid w:val="55B1434A"/>
    <w:rsid w:val="55C4510D"/>
    <w:rsid w:val="55CC73D2"/>
    <w:rsid w:val="55D53D83"/>
    <w:rsid w:val="56037691"/>
    <w:rsid w:val="5604532D"/>
    <w:rsid w:val="561577C6"/>
    <w:rsid w:val="561B4F52"/>
    <w:rsid w:val="56226ADC"/>
    <w:rsid w:val="56257A60"/>
    <w:rsid w:val="5632548A"/>
    <w:rsid w:val="56424E12"/>
    <w:rsid w:val="56A26130"/>
    <w:rsid w:val="56E65920"/>
    <w:rsid w:val="57152BEC"/>
    <w:rsid w:val="571E12FD"/>
    <w:rsid w:val="57271C0D"/>
    <w:rsid w:val="5735569F"/>
    <w:rsid w:val="573B502A"/>
    <w:rsid w:val="57472BEF"/>
    <w:rsid w:val="574A003F"/>
    <w:rsid w:val="574C0B47"/>
    <w:rsid w:val="57753F0A"/>
    <w:rsid w:val="577E261B"/>
    <w:rsid w:val="577E790E"/>
    <w:rsid w:val="57975744"/>
    <w:rsid w:val="579A66C8"/>
    <w:rsid w:val="57A046BB"/>
    <w:rsid w:val="57CB6E97"/>
    <w:rsid w:val="57EA3EC9"/>
    <w:rsid w:val="58021570"/>
    <w:rsid w:val="581F309E"/>
    <w:rsid w:val="582B01B6"/>
    <w:rsid w:val="583974CB"/>
    <w:rsid w:val="5854137A"/>
    <w:rsid w:val="58587D80"/>
    <w:rsid w:val="589233DD"/>
    <w:rsid w:val="58B4529D"/>
    <w:rsid w:val="58C603B4"/>
    <w:rsid w:val="58D36F7C"/>
    <w:rsid w:val="58EF7EF3"/>
    <w:rsid w:val="590B30A7"/>
    <w:rsid w:val="592D105D"/>
    <w:rsid w:val="59311C62"/>
    <w:rsid w:val="59635CB4"/>
    <w:rsid w:val="59785C59"/>
    <w:rsid w:val="59820767"/>
    <w:rsid w:val="59AF6DE8"/>
    <w:rsid w:val="59C0604D"/>
    <w:rsid w:val="5A0C4E48"/>
    <w:rsid w:val="5A47502D"/>
    <w:rsid w:val="5A5468C1"/>
    <w:rsid w:val="5A7D1C84"/>
    <w:rsid w:val="5A9A37B2"/>
    <w:rsid w:val="5A9E21B8"/>
    <w:rsid w:val="5AB630E2"/>
    <w:rsid w:val="5ACA6500"/>
    <w:rsid w:val="5AD51FE0"/>
    <w:rsid w:val="5AFD3754"/>
    <w:rsid w:val="5B1024F7"/>
    <w:rsid w:val="5B140EFE"/>
    <w:rsid w:val="5B3B333C"/>
    <w:rsid w:val="5B432946"/>
    <w:rsid w:val="5B512008"/>
    <w:rsid w:val="5B690A8E"/>
    <w:rsid w:val="5B7F079B"/>
    <w:rsid w:val="5B895639"/>
    <w:rsid w:val="5B914F79"/>
    <w:rsid w:val="5B9723D0"/>
    <w:rsid w:val="5B9E1D5B"/>
    <w:rsid w:val="5C0A490D"/>
    <w:rsid w:val="5C1761A2"/>
    <w:rsid w:val="5C576F8B"/>
    <w:rsid w:val="5C7774C0"/>
    <w:rsid w:val="5CD37BDA"/>
    <w:rsid w:val="5CD4565B"/>
    <w:rsid w:val="5CEA77FF"/>
    <w:rsid w:val="5CF27722"/>
    <w:rsid w:val="5D1E0F52"/>
    <w:rsid w:val="5D273DE0"/>
    <w:rsid w:val="5D2B27E7"/>
    <w:rsid w:val="5DB15504"/>
    <w:rsid w:val="5DE83E9E"/>
    <w:rsid w:val="5DEA73A2"/>
    <w:rsid w:val="5E0D4847"/>
    <w:rsid w:val="5E774A07"/>
    <w:rsid w:val="5E882E74"/>
    <w:rsid w:val="5EA57AD5"/>
    <w:rsid w:val="5F255E00"/>
    <w:rsid w:val="5F7601AD"/>
    <w:rsid w:val="5F7C7B38"/>
    <w:rsid w:val="5F8E7A52"/>
    <w:rsid w:val="5FAE2505"/>
    <w:rsid w:val="5FBA1B9B"/>
    <w:rsid w:val="5FC03AA5"/>
    <w:rsid w:val="5FF850C6"/>
    <w:rsid w:val="600A2C1F"/>
    <w:rsid w:val="600F12A5"/>
    <w:rsid w:val="60106D27"/>
    <w:rsid w:val="602A1982"/>
    <w:rsid w:val="607A0954"/>
    <w:rsid w:val="6093674C"/>
    <w:rsid w:val="60B146B2"/>
    <w:rsid w:val="60CC08DE"/>
    <w:rsid w:val="60CD61E0"/>
    <w:rsid w:val="60F715A3"/>
    <w:rsid w:val="610E11C8"/>
    <w:rsid w:val="612A5275"/>
    <w:rsid w:val="613A550F"/>
    <w:rsid w:val="61931421"/>
    <w:rsid w:val="619E0AB7"/>
    <w:rsid w:val="61A11A3C"/>
    <w:rsid w:val="61EA78B2"/>
    <w:rsid w:val="61F50583"/>
    <w:rsid w:val="620C10EB"/>
    <w:rsid w:val="622C3B9E"/>
    <w:rsid w:val="62386962"/>
    <w:rsid w:val="625008DB"/>
    <w:rsid w:val="62695C01"/>
    <w:rsid w:val="626D4608"/>
    <w:rsid w:val="629E645C"/>
    <w:rsid w:val="62BA2508"/>
    <w:rsid w:val="6303631E"/>
    <w:rsid w:val="631C34A7"/>
    <w:rsid w:val="639F3A80"/>
    <w:rsid w:val="63B32720"/>
    <w:rsid w:val="63D17F9E"/>
    <w:rsid w:val="63E541F4"/>
    <w:rsid w:val="640D40B4"/>
    <w:rsid w:val="641B0E4B"/>
    <w:rsid w:val="641E665D"/>
    <w:rsid w:val="642052D3"/>
    <w:rsid w:val="643C1380"/>
    <w:rsid w:val="64403609"/>
    <w:rsid w:val="644E4597"/>
    <w:rsid w:val="646D6AED"/>
    <w:rsid w:val="64A4332E"/>
    <w:rsid w:val="64A864B1"/>
    <w:rsid w:val="64E04304"/>
    <w:rsid w:val="64EF46A6"/>
    <w:rsid w:val="65083052"/>
    <w:rsid w:val="650C465E"/>
    <w:rsid w:val="651954EB"/>
    <w:rsid w:val="654C6FBE"/>
    <w:rsid w:val="656E29F6"/>
    <w:rsid w:val="65A2414A"/>
    <w:rsid w:val="65CA788D"/>
    <w:rsid w:val="65E14D38"/>
    <w:rsid w:val="65E579AD"/>
    <w:rsid w:val="66025468"/>
    <w:rsid w:val="660563ED"/>
    <w:rsid w:val="661F4D98"/>
    <w:rsid w:val="662B4F9A"/>
    <w:rsid w:val="66360241"/>
    <w:rsid w:val="667808A5"/>
    <w:rsid w:val="66A96EFB"/>
    <w:rsid w:val="66C52FA8"/>
    <w:rsid w:val="66CF7E12"/>
    <w:rsid w:val="66DB514B"/>
    <w:rsid w:val="66E75E27"/>
    <w:rsid w:val="67092797"/>
    <w:rsid w:val="67184FB0"/>
    <w:rsid w:val="67413D11"/>
    <w:rsid w:val="67673E36"/>
    <w:rsid w:val="6767412F"/>
    <w:rsid w:val="67A7359A"/>
    <w:rsid w:val="67C32ECB"/>
    <w:rsid w:val="67C718D1"/>
    <w:rsid w:val="67E36C7A"/>
    <w:rsid w:val="680726BA"/>
    <w:rsid w:val="68213264"/>
    <w:rsid w:val="682A438F"/>
    <w:rsid w:val="68344483"/>
    <w:rsid w:val="68503DB3"/>
    <w:rsid w:val="68624F20"/>
    <w:rsid w:val="6870183D"/>
    <w:rsid w:val="688776DE"/>
    <w:rsid w:val="68A2033A"/>
    <w:rsid w:val="68C504EF"/>
    <w:rsid w:val="69010354"/>
    <w:rsid w:val="69033857"/>
    <w:rsid w:val="69111530"/>
    <w:rsid w:val="691E5706"/>
    <w:rsid w:val="6923630A"/>
    <w:rsid w:val="69711CCD"/>
    <w:rsid w:val="69A27EDD"/>
    <w:rsid w:val="69AD29EB"/>
    <w:rsid w:val="69B82081"/>
    <w:rsid w:val="69CA3620"/>
    <w:rsid w:val="69CA7D9D"/>
    <w:rsid w:val="6A0568FD"/>
    <w:rsid w:val="6A1D1DA5"/>
    <w:rsid w:val="6A2D21C3"/>
    <w:rsid w:val="6A5E280F"/>
    <w:rsid w:val="6A7214AF"/>
    <w:rsid w:val="6A9E35F8"/>
    <w:rsid w:val="6B3602F4"/>
    <w:rsid w:val="6B422321"/>
    <w:rsid w:val="6B6E7213"/>
    <w:rsid w:val="6B7226D7"/>
    <w:rsid w:val="6B914D8D"/>
    <w:rsid w:val="6BA01F21"/>
    <w:rsid w:val="6BD15F74"/>
    <w:rsid w:val="6BD623FB"/>
    <w:rsid w:val="6BFD03E4"/>
    <w:rsid w:val="6C0E4B76"/>
    <w:rsid w:val="6C2F4AF2"/>
    <w:rsid w:val="6C313A0F"/>
    <w:rsid w:val="6C416227"/>
    <w:rsid w:val="6C5703CB"/>
    <w:rsid w:val="6C5E57D7"/>
    <w:rsid w:val="6C6D7436"/>
    <w:rsid w:val="6C891E9F"/>
    <w:rsid w:val="6CC805B2"/>
    <w:rsid w:val="6CCC5E0B"/>
    <w:rsid w:val="6CF724D3"/>
    <w:rsid w:val="6D121871"/>
    <w:rsid w:val="6D1B140E"/>
    <w:rsid w:val="6D2D712A"/>
    <w:rsid w:val="6D6A2812"/>
    <w:rsid w:val="6D6F0E98"/>
    <w:rsid w:val="6D813038"/>
    <w:rsid w:val="6D947740"/>
    <w:rsid w:val="6DA11102"/>
    <w:rsid w:val="6DBB3515"/>
    <w:rsid w:val="6DC30922"/>
    <w:rsid w:val="6DEC1AE6"/>
    <w:rsid w:val="6E1B63AC"/>
    <w:rsid w:val="6E6D460A"/>
    <w:rsid w:val="6EB56FB1"/>
    <w:rsid w:val="6F085736"/>
    <w:rsid w:val="6F2F55F5"/>
    <w:rsid w:val="6F306560"/>
    <w:rsid w:val="6F663E02"/>
    <w:rsid w:val="6FA974BD"/>
    <w:rsid w:val="6FBA1D55"/>
    <w:rsid w:val="6FE67322"/>
    <w:rsid w:val="701D527E"/>
    <w:rsid w:val="70231C25"/>
    <w:rsid w:val="704F6D52"/>
    <w:rsid w:val="70625B7B"/>
    <w:rsid w:val="70876EAC"/>
    <w:rsid w:val="70C1323B"/>
    <w:rsid w:val="70F10AD9"/>
    <w:rsid w:val="71255AB0"/>
    <w:rsid w:val="71465FE5"/>
    <w:rsid w:val="7150308A"/>
    <w:rsid w:val="71597204"/>
    <w:rsid w:val="717B0243"/>
    <w:rsid w:val="719C3171"/>
    <w:rsid w:val="71A670BA"/>
    <w:rsid w:val="71AF2191"/>
    <w:rsid w:val="71C233B0"/>
    <w:rsid w:val="71D545CF"/>
    <w:rsid w:val="71F21981"/>
    <w:rsid w:val="71FB480F"/>
    <w:rsid w:val="722A1ADB"/>
    <w:rsid w:val="723C16E9"/>
    <w:rsid w:val="726254B8"/>
    <w:rsid w:val="72BA00C5"/>
    <w:rsid w:val="72BB4E08"/>
    <w:rsid w:val="72BE485C"/>
    <w:rsid w:val="72FF663B"/>
    <w:rsid w:val="730541A5"/>
    <w:rsid w:val="73231CF3"/>
    <w:rsid w:val="736D6C6F"/>
    <w:rsid w:val="738E13A2"/>
    <w:rsid w:val="73A722CC"/>
    <w:rsid w:val="73CC6C88"/>
    <w:rsid w:val="7427609D"/>
    <w:rsid w:val="74563369"/>
    <w:rsid w:val="74680181"/>
    <w:rsid w:val="7499095B"/>
    <w:rsid w:val="74B31BEE"/>
    <w:rsid w:val="74EA165E"/>
    <w:rsid w:val="75117320"/>
    <w:rsid w:val="751C56B1"/>
    <w:rsid w:val="75234649"/>
    <w:rsid w:val="75557901"/>
    <w:rsid w:val="75E43E1F"/>
    <w:rsid w:val="76016C28"/>
    <w:rsid w:val="76043E58"/>
    <w:rsid w:val="76070B31"/>
    <w:rsid w:val="76587637"/>
    <w:rsid w:val="765F4A43"/>
    <w:rsid w:val="76756BE7"/>
    <w:rsid w:val="768B0D8B"/>
    <w:rsid w:val="768D5C0B"/>
    <w:rsid w:val="76A07A2B"/>
    <w:rsid w:val="76B0048A"/>
    <w:rsid w:val="76E71522"/>
    <w:rsid w:val="76F04D5F"/>
    <w:rsid w:val="77276A0B"/>
    <w:rsid w:val="77311518"/>
    <w:rsid w:val="777E4E9B"/>
    <w:rsid w:val="77D67AA8"/>
    <w:rsid w:val="77FE53E9"/>
    <w:rsid w:val="7843265A"/>
    <w:rsid w:val="78913A5E"/>
    <w:rsid w:val="78E8551F"/>
    <w:rsid w:val="79147BBC"/>
    <w:rsid w:val="791F0D44"/>
    <w:rsid w:val="792A70D5"/>
    <w:rsid w:val="796A639A"/>
    <w:rsid w:val="7970564B"/>
    <w:rsid w:val="799022FC"/>
    <w:rsid w:val="79980C33"/>
    <w:rsid w:val="79A044B0"/>
    <w:rsid w:val="79B85A3F"/>
    <w:rsid w:val="79EA35FD"/>
    <w:rsid w:val="7A03263B"/>
    <w:rsid w:val="7A057D3D"/>
    <w:rsid w:val="7A0B54C9"/>
    <w:rsid w:val="7A3D151B"/>
    <w:rsid w:val="7A4C04B1"/>
    <w:rsid w:val="7A6D6467"/>
    <w:rsid w:val="7A8B129B"/>
    <w:rsid w:val="7A920C25"/>
    <w:rsid w:val="7A9E734F"/>
    <w:rsid w:val="7AA159BD"/>
    <w:rsid w:val="7AB4245F"/>
    <w:rsid w:val="7AC41596"/>
    <w:rsid w:val="7AC96B81"/>
    <w:rsid w:val="7ACB6801"/>
    <w:rsid w:val="7ACD1D04"/>
    <w:rsid w:val="7AD44F12"/>
    <w:rsid w:val="7B2A7E9F"/>
    <w:rsid w:val="7B3769CC"/>
    <w:rsid w:val="7B3A013A"/>
    <w:rsid w:val="7BDD4DDA"/>
    <w:rsid w:val="7BEC215B"/>
    <w:rsid w:val="7C476FF2"/>
    <w:rsid w:val="7C5C5C93"/>
    <w:rsid w:val="7C9D7D81"/>
    <w:rsid w:val="7CBA3AAE"/>
    <w:rsid w:val="7CEA207E"/>
    <w:rsid w:val="7CF5040F"/>
    <w:rsid w:val="7D0D0F1C"/>
    <w:rsid w:val="7D19734A"/>
    <w:rsid w:val="7D1F1254"/>
    <w:rsid w:val="7D2334DD"/>
    <w:rsid w:val="7D264462"/>
    <w:rsid w:val="7D271EE3"/>
    <w:rsid w:val="7D40500C"/>
    <w:rsid w:val="7D5B6EBA"/>
    <w:rsid w:val="7D867CFE"/>
    <w:rsid w:val="7D8B6384"/>
    <w:rsid w:val="7D996755"/>
    <w:rsid w:val="7D9F2E27"/>
    <w:rsid w:val="7DC242E0"/>
    <w:rsid w:val="7DDE038D"/>
    <w:rsid w:val="7DEA7A23"/>
    <w:rsid w:val="7DF0192C"/>
    <w:rsid w:val="7DF76D39"/>
    <w:rsid w:val="7E070738"/>
    <w:rsid w:val="7E1D36F5"/>
    <w:rsid w:val="7E1E3650"/>
    <w:rsid w:val="7E294F89"/>
    <w:rsid w:val="7E6263E8"/>
    <w:rsid w:val="7E765088"/>
    <w:rsid w:val="7E8C15C8"/>
    <w:rsid w:val="7E987174"/>
    <w:rsid w:val="7EAF2C64"/>
    <w:rsid w:val="7F097E7A"/>
    <w:rsid w:val="7F3B60CB"/>
    <w:rsid w:val="7F4F4D6C"/>
    <w:rsid w:val="7F8477C4"/>
    <w:rsid w:val="7FA347F6"/>
    <w:rsid w:val="7FBC31A1"/>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paragraph" w:styleId="6">
    <w:name w:val="heading 3"/>
    <w:basedOn w:val="1"/>
    <w:next w:val="1"/>
    <w:qFormat/>
    <w:uiPriority w:val="0"/>
    <w:pPr>
      <w:keepNext/>
      <w:keepLines/>
      <w:spacing w:before="260" w:after="260" w:line="415" w:lineRule="auto"/>
      <w:outlineLvl w:val="2"/>
    </w:pPr>
    <w:rPr>
      <w:b/>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77"/>
    <w:unhideWhenUsed/>
    <w:qFormat/>
    <w:uiPriority w:val="0"/>
    <w:pPr>
      <w:ind w:left="420" w:leftChars="200" w:firstLine="420" w:firstLineChars="200"/>
    </w:pPr>
    <w:rPr>
      <w:rFonts w:ascii="宋体"/>
    </w:rPr>
  </w:style>
  <w:style w:type="paragraph" w:styleId="3">
    <w:name w:val="Body Text"/>
    <w:basedOn w:val="1"/>
    <w:next w:val="1"/>
    <w:qFormat/>
    <w:uiPriority w:val="0"/>
    <w:pPr>
      <w:spacing w:after="120"/>
    </w:pPr>
    <w:rPr>
      <w:rFonts w:ascii="Times New Roman"/>
    </w:rPr>
  </w:style>
  <w:style w:type="paragraph" w:styleId="7">
    <w:name w:val="Normal Indent"/>
    <w:basedOn w:val="1"/>
    <w:link w:val="32"/>
    <w:qFormat/>
    <w:uiPriority w:val="0"/>
    <w:pPr>
      <w:ind w:firstLine="420" w:firstLineChars="200"/>
    </w:pPr>
    <w:rPr>
      <w:rFonts w:ascii="Times New Roman"/>
      <w:kern w:val="2"/>
      <w:sz w:val="21"/>
      <w:szCs w:val="24"/>
    </w:rPr>
  </w:style>
  <w:style w:type="paragraph" w:styleId="8">
    <w:name w:val="annotation text"/>
    <w:basedOn w:val="1"/>
    <w:qFormat/>
    <w:uiPriority w:val="0"/>
    <w:pPr>
      <w:jc w:val="left"/>
    </w:pPr>
    <w:rPr>
      <w:rFonts w:ascii="Times New Roman"/>
    </w:rPr>
  </w:style>
  <w:style w:type="paragraph" w:styleId="9">
    <w:name w:val="Body Text Indent"/>
    <w:basedOn w:val="1"/>
    <w:link w:val="40"/>
    <w:qFormat/>
    <w:uiPriority w:val="0"/>
    <w:pPr>
      <w:ind w:firstLine="630"/>
    </w:pPr>
    <w:rPr>
      <w:rFonts w:ascii="Times New Roman"/>
      <w:kern w:val="2"/>
      <w:sz w:val="32"/>
    </w:rPr>
  </w:style>
  <w:style w:type="paragraph" w:styleId="10">
    <w:name w:val="Plain Text"/>
    <w:basedOn w:val="1"/>
    <w:link w:val="49"/>
    <w:qFormat/>
    <w:uiPriority w:val="0"/>
    <w:rPr>
      <w:rFonts w:hAnsi="Courier New"/>
      <w:kern w:val="2"/>
      <w:sz w:val="21"/>
    </w:rPr>
  </w:style>
  <w:style w:type="paragraph" w:styleId="11">
    <w:name w:val="Body Text Indent 2"/>
    <w:basedOn w:val="1"/>
    <w:qFormat/>
    <w:uiPriority w:val="0"/>
    <w:pPr>
      <w:ind w:firstLine="630"/>
    </w:pPr>
    <w:rPr>
      <w:sz w:val="32"/>
      <w:szCs w:val="32"/>
    </w:rPr>
  </w:style>
  <w:style w:type="paragraph" w:styleId="12">
    <w:name w:val="Balloon Text"/>
    <w:basedOn w:val="1"/>
    <w:qFormat/>
    <w:uiPriority w:val="0"/>
    <w:rPr>
      <w:rFonts w:ascii="Times New Roman"/>
      <w:sz w:val="18"/>
      <w:szCs w:val="18"/>
    </w:rPr>
  </w:style>
  <w:style w:type="paragraph" w:styleId="13">
    <w:name w:val="footer"/>
    <w:basedOn w:val="1"/>
    <w:qFormat/>
    <w:uiPriority w:val="0"/>
    <w:pPr>
      <w:tabs>
        <w:tab w:val="center" w:pos="4140"/>
        <w:tab w:val="right" w:pos="8300"/>
      </w:tabs>
      <w:jc w:val="left"/>
    </w:pPr>
    <w:rPr>
      <w:sz w:val="18"/>
      <w:szCs w:val="18"/>
    </w:rPr>
  </w:style>
  <w:style w:type="paragraph" w:styleId="14">
    <w:name w:val="header"/>
    <w:basedOn w:val="1"/>
    <w:qFormat/>
    <w:uiPriority w:val="0"/>
    <w:pPr>
      <w:pBdr>
        <w:bottom w:val="single" w:color="000000" w:sz="6" w:space="1"/>
      </w:pBdr>
      <w:tabs>
        <w:tab w:val="center" w:pos="4140"/>
        <w:tab w:val="right" w:pos="8300"/>
      </w:tabs>
      <w:snapToGrid w:val="0"/>
      <w:jc w:val="center"/>
    </w:pPr>
    <w:rPr>
      <w:sz w:val="18"/>
    </w:rPr>
  </w:style>
  <w:style w:type="paragraph" w:styleId="15">
    <w:name w:val="toc 1"/>
    <w:basedOn w:val="1"/>
    <w:next w:val="1"/>
    <w:qFormat/>
    <w:uiPriority w:val="0"/>
  </w:style>
  <w:style w:type="paragraph" w:styleId="16">
    <w:name w:val="Body Text Indent 3"/>
    <w:basedOn w:val="1"/>
    <w:qFormat/>
    <w:uiPriority w:val="0"/>
    <w:pPr>
      <w:spacing w:after="120"/>
      <w:ind w:left="420" w:leftChars="200"/>
    </w:pPr>
    <w:rPr>
      <w:rFonts w:ascii="Times New Roman"/>
      <w:sz w:val="16"/>
      <w:szCs w:val="16"/>
    </w:rPr>
  </w:style>
  <w:style w:type="paragraph" w:styleId="17">
    <w:name w:val="toc 2"/>
    <w:basedOn w:val="1"/>
    <w:next w:val="1"/>
    <w:qFormat/>
    <w:uiPriority w:val="0"/>
    <w:pPr>
      <w:ind w:left="420" w:leftChars="200"/>
    </w:pPr>
    <w:rPr>
      <w:rFonts w:ascii="Times New Roman"/>
    </w:rPr>
  </w:style>
  <w:style w:type="paragraph" w:styleId="18">
    <w:name w:val="Body Text 2"/>
    <w:basedOn w:val="1"/>
    <w:qFormat/>
    <w:uiPriority w:val="0"/>
    <w:pPr>
      <w:spacing w:line="480" w:lineRule="auto"/>
    </w:pPr>
    <w:rPr>
      <w:rFonts w:ascii="Times New Roman"/>
    </w:rPr>
  </w:style>
  <w:style w:type="paragraph" w:styleId="19">
    <w:name w:val="Normal (Web)"/>
    <w:basedOn w:val="1"/>
    <w:qFormat/>
    <w:uiPriority w:val="0"/>
    <w:pPr>
      <w:widowControl/>
      <w:spacing w:before="100" w:beforeAutospacing="1" w:after="100" w:afterAutospacing="1"/>
      <w:jc w:val="left"/>
    </w:pPr>
    <w:rPr>
      <w:rFonts w:hAnsi="宋体"/>
      <w:sz w:val="18"/>
      <w:szCs w:val="18"/>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rFonts w:ascii="Times New Roman" w:hAnsi="Times New Roman" w:eastAsia="宋体" w:cs="Times New Roman"/>
      <w:b/>
      <w:bCs/>
    </w:rPr>
  </w:style>
  <w:style w:type="character" w:styleId="24">
    <w:name w:val="page number"/>
    <w:qFormat/>
    <w:uiPriority w:val="0"/>
    <w:rPr>
      <w:rFonts w:ascii="Times New Roman" w:hAnsi="Times New Roman" w:eastAsia="宋体" w:cs="Times New Roman"/>
    </w:rPr>
  </w:style>
  <w:style w:type="character" w:styleId="25">
    <w:name w:val="FollowedHyperlink"/>
    <w:qFormat/>
    <w:uiPriority w:val="0"/>
    <w:rPr>
      <w:rFonts w:ascii="Arial" w:hAnsi="Arial" w:eastAsia="宋体" w:cs="Arial"/>
      <w:color w:val="007CD2"/>
      <w:sz w:val="24"/>
      <w:szCs w:val="24"/>
      <w:u w:val="none"/>
    </w:rPr>
  </w:style>
  <w:style w:type="character" w:styleId="26">
    <w:name w:val="Hyperlink"/>
    <w:qFormat/>
    <w:uiPriority w:val="0"/>
    <w:rPr>
      <w:rFonts w:ascii="Times New Roman" w:hAnsi="Times New Roman" w:eastAsia="宋体" w:cs="Times New Roman"/>
      <w:color w:val="0000FF"/>
      <w:u w:val="single"/>
    </w:rPr>
  </w:style>
  <w:style w:type="character" w:styleId="27">
    <w:name w:val="annotation reference"/>
    <w:qFormat/>
    <w:uiPriority w:val="0"/>
    <w:rPr>
      <w:rFonts w:cs="Times New Roman"/>
      <w:sz w:val="21"/>
      <w:szCs w:val="21"/>
    </w:rPr>
  </w:style>
  <w:style w:type="paragraph" w:customStyle="1" w:styleId="28">
    <w:name w:val="标题 5（有编号）（绿盟科技）"/>
    <w:basedOn w:val="1"/>
    <w:next w:val="29"/>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9">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30">
    <w:name w:val="font31"/>
    <w:qFormat/>
    <w:uiPriority w:val="0"/>
    <w:rPr>
      <w:rFonts w:hint="eastAsia" w:ascii="宋体" w:hAnsi="宋体" w:eastAsia="宋体" w:cs="宋体"/>
      <w:b/>
      <w:color w:val="000000"/>
      <w:sz w:val="22"/>
      <w:szCs w:val="22"/>
      <w:u w:val="none"/>
    </w:rPr>
  </w:style>
  <w:style w:type="character" w:customStyle="1" w:styleId="31">
    <w:name w:val="style1"/>
    <w:qFormat/>
    <w:uiPriority w:val="0"/>
    <w:rPr>
      <w:rFonts w:ascii="Times New Roman" w:hAnsi="Times New Roman" w:eastAsia="宋体" w:cs="Times New Roman"/>
    </w:rPr>
  </w:style>
  <w:style w:type="character" w:customStyle="1" w:styleId="32">
    <w:name w:val="正文缩进 字符"/>
    <w:link w:val="7"/>
    <w:qFormat/>
    <w:uiPriority w:val="0"/>
    <w:rPr>
      <w:rFonts w:ascii="Times New Roman" w:hAnsi="Times New Roman" w:eastAsia="宋体" w:cs="Times New Roman"/>
      <w:kern w:val="2"/>
      <w:sz w:val="21"/>
      <w:szCs w:val="24"/>
      <w:lang w:val="en-US" w:eastAsia="zh-CN" w:bidi="ar-SA"/>
    </w:rPr>
  </w:style>
  <w:style w:type="character" w:customStyle="1" w:styleId="33">
    <w:name w:val="apple-converted-space"/>
    <w:qFormat/>
    <w:uiPriority w:val="0"/>
    <w:rPr>
      <w:rFonts w:ascii="Times New Roman" w:hAnsi="Times New Roman" w:eastAsia="宋体" w:cs="Times New Roman"/>
    </w:rPr>
  </w:style>
  <w:style w:type="character" w:customStyle="1" w:styleId="34">
    <w:name w:val="font81"/>
    <w:qFormat/>
    <w:uiPriority w:val="0"/>
    <w:rPr>
      <w:rFonts w:hint="eastAsia" w:ascii="宋体" w:hAnsi="宋体" w:eastAsia="宋体" w:cs="宋体"/>
      <w:b/>
      <w:color w:val="000000"/>
      <w:sz w:val="22"/>
      <w:szCs w:val="22"/>
      <w:u w:val="none"/>
    </w:rPr>
  </w:style>
  <w:style w:type="character" w:customStyle="1" w:styleId="35">
    <w:name w:val="tdrownotice1"/>
    <w:qFormat/>
    <w:uiPriority w:val="0"/>
    <w:rPr>
      <w:rFonts w:hint="default" w:ascii="Times New Roman" w:hAnsi="Times New Roman" w:eastAsia="宋体" w:cs="Times New Roman"/>
      <w:sz w:val="22"/>
    </w:rPr>
  </w:style>
  <w:style w:type="character" w:customStyle="1" w:styleId="36">
    <w:name w:val="表正文 Char1"/>
    <w:qFormat/>
    <w:uiPriority w:val="0"/>
    <w:rPr>
      <w:rFonts w:ascii="Times New Roman" w:hAnsi="Times New Roman" w:eastAsia="宋体" w:cs="Times New Roman"/>
      <w:kern w:val="2"/>
      <w:sz w:val="21"/>
      <w:szCs w:val="24"/>
      <w:lang w:val="en-US" w:eastAsia="zh-CN" w:bidi="ar-SA"/>
    </w:rPr>
  </w:style>
  <w:style w:type="character" w:customStyle="1" w:styleId="37">
    <w:name w:val="font61"/>
    <w:qFormat/>
    <w:uiPriority w:val="0"/>
    <w:rPr>
      <w:rFonts w:hint="eastAsia" w:ascii="微软雅黑" w:hAnsi="微软雅黑" w:eastAsia="微软雅黑" w:cs="微软雅黑"/>
      <w:b/>
      <w:color w:val="000000"/>
      <w:sz w:val="22"/>
      <w:szCs w:val="22"/>
      <w:u w:val="none"/>
    </w:rPr>
  </w:style>
  <w:style w:type="character" w:customStyle="1" w:styleId="38">
    <w:name w:val="font71"/>
    <w:qFormat/>
    <w:uiPriority w:val="0"/>
    <w:rPr>
      <w:rFonts w:hint="eastAsia" w:ascii="宋体" w:hAnsi="宋体" w:eastAsia="宋体" w:cs="宋体"/>
      <w:color w:val="000000"/>
      <w:sz w:val="20"/>
      <w:szCs w:val="20"/>
      <w:u w:val="none"/>
    </w:rPr>
  </w:style>
  <w:style w:type="character" w:customStyle="1" w:styleId="39">
    <w:name w:val="font01"/>
    <w:qFormat/>
    <w:uiPriority w:val="0"/>
    <w:rPr>
      <w:rFonts w:hint="eastAsia" w:ascii="宋体" w:hAnsi="宋体" w:eastAsia="宋体" w:cs="宋体"/>
      <w:i/>
      <w:color w:val="000000"/>
      <w:sz w:val="20"/>
      <w:szCs w:val="20"/>
      <w:u w:val="none"/>
    </w:rPr>
  </w:style>
  <w:style w:type="character" w:customStyle="1" w:styleId="40">
    <w:name w:val="正文文本缩进 字符"/>
    <w:link w:val="9"/>
    <w:qFormat/>
    <w:uiPriority w:val="0"/>
    <w:rPr>
      <w:rFonts w:ascii="Times New Roman" w:hAnsi="Times New Roman" w:eastAsia="宋体" w:cs="Times New Roman"/>
      <w:kern w:val="2"/>
      <w:sz w:val="32"/>
      <w:lang w:val="en-US" w:eastAsia="zh-CN" w:bidi="ar-SA"/>
    </w:rPr>
  </w:style>
  <w:style w:type="character" w:customStyle="1" w:styleId="41">
    <w:name w:val="页码1"/>
    <w:qFormat/>
    <w:uiPriority w:val="0"/>
    <w:rPr>
      <w:rFonts w:ascii="Times New Roman" w:hAnsi="Times New Roman" w:eastAsia="宋体" w:cs="Times New Roman"/>
    </w:rPr>
  </w:style>
  <w:style w:type="character" w:customStyle="1" w:styleId="42">
    <w:name w:val="font41"/>
    <w:qFormat/>
    <w:uiPriority w:val="0"/>
    <w:rPr>
      <w:rFonts w:hint="eastAsia" w:ascii="宋体" w:hAnsi="宋体" w:eastAsia="宋体" w:cs="宋体"/>
      <w:color w:val="000000"/>
      <w:sz w:val="24"/>
      <w:szCs w:val="24"/>
      <w:u w:val="none"/>
    </w:rPr>
  </w:style>
  <w:style w:type="character" w:customStyle="1" w:styleId="43">
    <w:name w:val="font111"/>
    <w:qFormat/>
    <w:uiPriority w:val="0"/>
    <w:rPr>
      <w:rFonts w:hint="eastAsia" w:ascii="宋体" w:hAnsi="宋体" w:eastAsia="宋体" w:cs="宋体"/>
      <w:b/>
      <w:color w:val="000000"/>
      <w:sz w:val="32"/>
      <w:szCs w:val="32"/>
      <w:u w:val="none"/>
    </w:rPr>
  </w:style>
  <w:style w:type="character" w:customStyle="1" w:styleId="44">
    <w:name w:val="（符号）邀请函中一、"/>
    <w:qFormat/>
    <w:uiPriority w:val="0"/>
    <w:rPr>
      <w:rFonts w:ascii="黑体" w:hAnsi="黑体" w:eastAsia="黑体" w:cs="Times New Roman"/>
      <w:b/>
      <w:bCs/>
      <w:sz w:val="24"/>
    </w:rPr>
  </w:style>
  <w:style w:type="character" w:customStyle="1" w:styleId="45">
    <w:name w:val="font11"/>
    <w:qFormat/>
    <w:uiPriority w:val="0"/>
    <w:rPr>
      <w:rFonts w:hint="eastAsia" w:ascii="宋体" w:hAnsi="宋体" w:eastAsia="宋体" w:cs="宋体"/>
      <w:color w:val="000000"/>
      <w:sz w:val="24"/>
      <w:szCs w:val="24"/>
      <w:u w:val="none"/>
    </w:rPr>
  </w:style>
  <w:style w:type="character" w:customStyle="1" w:styleId="46">
    <w:name w:val="font21"/>
    <w:qFormat/>
    <w:uiPriority w:val="0"/>
    <w:rPr>
      <w:rFonts w:hint="eastAsia" w:ascii="宋体" w:hAnsi="宋体" w:eastAsia="宋体" w:cs="宋体"/>
      <w:color w:val="000000"/>
      <w:sz w:val="20"/>
      <w:szCs w:val="20"/>
      <w:u w:val="none"/>
    </w:rPr>
  </w:style>
  <w:style w:type="character" w:customStyle="1" w:styleId="47">
    <w:name w:val="左对齐的表内文字 Char"/>
    <w:link w:val="48"/>
    <w:qFormat/>
    <w:uiPriority w:val="0"/>
    <w:rPr>
      <w:rFonts w:ascii="Times New Roman" w:hAnsi="Times New Roman" w:eastAsia="仿宋_GB2312" w:cs="Times New Roman"/>
      <w:kern w:val="2"/>
      <w:sz w:val="21"/>
      <w:lang w:bidi="ar-SA"/>
    </w:rPr>
  </w:style>
  <w:style w:type="paragraph" w:customStyle="1" w:styleId="48">
    <w:name w:val="左对齐的表内文字"/>
    <w:basedOn w:val="1"/>
    <w:link w:val="47"/>
    <w:qFormat/>
    <w:uiPriority w:val="0"/>
    <w:rPr>
      <w:rFonts w:ascii="Times New Roman" w:eastAsia="仿宋_GB2312"/>
      <w:kern w:val="2"/>
      <w:sz w:val="21"/>
    </w:rPr>
  </w:style>
  <w:style w:type="character" w:customStyle="1" w:styleId="49">
    <w:name w:val="纯文本 字符"/>
    <w:link w:val="10"/>
    <w:qFormat/>
    <w:uiPriority w:val="0"/>
    <w:rPr>
      <w:rFonts w:ascii="宋体" w:hAnsi="Courier New" w:eastAsia="宋体" w:cs="Times New Roman"/>
      <w:kern w:val="2"/>
      <w:sz w:val="21"/>
      <w:lang w:val="en-US" w:eastAsia="zh-CN" w:bidi="ar-SA"/>
    </w:rPr>
  </w:style>
  <w:style w:type="paragraph" w:customStyle="1" w:styleId="50">
    <w:name w:val="_Style 3"/>
    <w:basedOn w:val="1"/>
    <w:qFormat/>
    <w:uiPriority w:val="34"/>
    <w:pPr>
      <w:ind w:firstLine="420" w:firstLineChars="200"/>
    </w:pPr>
  </w:style>
  <w:style w:type="paragraph" w:customStyle="1" w:styleId="51">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52">
    <w:name w:val="_Style 2"/>
    <w:basedOn w:val="1"/>
    <w:qFormat/>
    <w:uiPriority w:val="34"/>
    <w:pPr>
      <w:ind w:firstLine="420" w:firstLineChars="200"/>
    </w:pPr>
    <w:rPr>
      <w:rFonts w:ascii="Calibri"/>
    </w:rPr>
  </w:style>
  <w:style w:type="paragraph" w:customStyle="1" w:styleId="53">
    <w:name w:val="标准文本"/>
    <w:basedOn w:val="1"/>
    <w:qFormat/>
    <w:uiPriority w:val="0"/>
    <w:pPr>
      <w:spacing w:line="360" w:lineRule="auto"/>
      <w:ind w:firstLine="480" w:firstLineChars="200"/>
    </w:pPr>
    <w:rPr>
      <w:rFonts w:ascii="Times New Roman" w:cs="宋体"/>
      <w:sz w:val="24"/>
    </w:rPr>
  </w:style>
  <w:style w:type="paragraph" w:customStyle="1" w:styleId="54">
    <w:name w:val="正文缩进3"/>
    <w:basedOn w:val="1"/>
    <w:qFormat/>
    <w:uiPriority w:val="0"/>
    <w:pPr>
      <w:autoSpaceDE w:val="0"/>
      <w:autoSpaceDN w:val="0"/>
      <w:adjustRightInd w:val="0"/>
      <w:ind w:firstLine="420"/>
    </w:pPr>
    <w:rPr>
      <w:rFonts w:ascii="Times New Roman"/>
      <w:szCs w:val="21"/>
    </w:rPr>
  </w:style>
  <w:style w:type="paragraph" w:customStyle="1" w:styleId="55">
    <w:name w:val="表格"/>
    <w:basedOn w:val="1"/>
    <w:qFormat/>
    <w:uiPriority w:val="0"/>
    <w:pPr>
      <w:spacing w:line="400" w:lineRule="exact"/>
    </w:pPr>
    <w:rPr>
      <w:rFonts w:ascii="Times New Roman"/>
      <w:sz w:val="24"/>
    </w:rPr>
  </w:style>
  <w:style w:type="paragraph" w:styleId="56">
    <w:name w:val="List Paragraph"/>
    <w:basedOn w:val="1"/>
    <w:qFormat/>
    <w:uiPriority w:val="0"/>
    <w:pPr>
      <w:ind w:firstLine="420" w:firstLineChars="200"/>
    </w:pPr>
    <w:rPr>
      <w:rFonts w:ascii="Times New Roman"/>
      <w:sz w:val="18"/>
      <w:szCs w:val="18"/>
    </w:rPr>
  </w:style>
  <w:style w:type="paragraph" w:customStyle="1" w:styleId="57">
    <w:name w:val="Char1 Char Char Char"/>
    <w:basedOn w:val="1"/>
    <w:qFormat/>
    <w:uiPriority w:val="0"/>
    <w:rPr>
      <w:rFonts w:ascii="Times New Roman" w:eastAsia="仿宋_GB2312"/>
      <w:sz w:val="28"/>
    </w:rPr>
  </w:style>
  <w:style w:type="paragraph" w:customStyle="1" w:styleId="58">
    <w:name w:val="正文首行缩进两字符"/>
    <w:basedOn w:val="1"/>
    <w:qFormat/>
    <w:uiPriority w:val="0"/>
    <w:pPr>
      <w:spacing w:line="360" w:lineRule="auto"/>
      <w:ind w:firstLine="200" w:firstLineChars="200"/>
    </w:pPr>
    <w:rPr>
      <w:rFonts w:ascii="Times New Roman"/>
    </w:rPr>
  </w:style>
  <w:style w:type="paragraph" w:customStyle="1" w:styleId="59">
    <w:name w:val="Body Text 22"/>
    <w:basedOn w:val="1"/>
    <w:qFormat/>
    <w:uiPriority w:val="0"/>
    <w:pPr>
      <w:adjustRightInd w:val="0"/>
      <w:spacing w:line="300" w:lineRule="auto"/>
      <w:jc w:val="center"/>
      <w:textAlignment w:val="baseline"/>
    </w:pPr>
    <w:rPr>
      <w:rFonts w:hAnsi="宋体"/>
      <w:sz w:val="24"/>
    </w:rPr>
  </w:style>
  <w:style w:type="paragraph" w:customStyle="1" w:styleId="6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1">
    <w:name w:val="列出段落1"/>
    <w:basedOn w:val="1"/>
    <w:qFormat/>
    <w:uiPriority w:val="0"/>
    <w:pPr>
      <w:ind w:firstLine="420" w:firstLineChars="200"/>
    </w:pPr>
    <w:rPr>
      <w:rFonts w:ascii="Times New Roman"/>
    </w:rPr>
  </w:style>
  <w:style w:type="paragraph" w:customStyle="1" w:styleId="62">
    <w:name w:val="p0"/>
    <w:basedOn w:val="1"/>
    <w:qFormat/>
    <w:uiPriority w:val="0"/>
    <w:pPr>
      <w:widowControl/>
    </w:pPr>
    <w:rPr>
      <w:rFonts w:ascii="Times New Roman"/>
      <w:szCs w:val="21"/>
    </w:rPr>
  </w:style>
  <w:style w:type="paragraph" w:customStyle="1" w:styleId="63">
    <w:name w:val="左对齐的表内文字1"/>
    <w:basedOn w:val="1"/>
    <w:qFormat/>
    <w:uiPriority w:val="0"/>
    <w:rPr>
      <w:rFonts w:ascii="Times New Roman"/>
    </w:rPr>
  </w:style>
  <w:style w:type="paragraph" w:customStyle="1" w:styleId="64">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65">
    <w:name w:val="List Paragraph1"/>
    <w:basedOn w:val="1"/>
    <w:qFormat/>
    <w:uiPriority w:val="99"/>
    <w:pPr>
      <w:ind w:firstLine="420" w:firstLineChars="200"/>
    </w:pPr>
    <w:rPr>
      <w:rFonts w:ascii="Times New Roman"/>
      <w:szCs w:val="34"/>
    </w:rPr>
  </w:style>
  <w:style w:type="paragraph" w:customStyle="1" w:styleId="66">
    <w:name w:val="0"/>
    <w:qFormat/>
    <w:uiPriority w:val="0"/>
    <w:pPr>
      <w:snapToGrid w:val="0"/>
    </w:pPr>
    <w:rPr>
      <w:rFonts w:ascii="Calibri" w:hAnsi="Calibri" w:eastAsia="宋体" w:cs="Times New Roman"/>
      <w:lang w:val="en-US" w:eastAsia="zh-CN" w:bidi="ar-SA"/>
    </w:rPr>
  </w:style>
  <w:style w:type="paragraph" w:customStyle="1" w:styleId="67">
    <w:name w:val="pa-8"/>
    <w:basedOn w:val="1"/>
    <w:qFormat/>
    <w:uiPriority w:val="0"/>
    <w:pPr>
      <w:widowControl/>
      <w:spacing w:before="150" w:after="150"/>
      <w:jc w:val="left"/>
    </w:pPr>
    <w:rPr>
      <w:rFonts w:hAnsi="宋体" w:cs="宋体"/>
      <w:sz w:val="24"/>
      <w:szCs w:val="24"/>
    </w:rPr>
  </w:style>
  <w:style w:type="paragraph" w:customStyle="1" w:styleId="68">
    <w:name w:val="+正文"/>
    <w:basedOn w:val="1"/>
    <w:qFormat/>
    <w:uiPriority w:val="0"/>
    <w:pPr>
      <w:spacing w:line="360" w:lineRule="auto"/>
      <w:ind w:firstLine="200" w:firstLineChars="200"/>
    </w:pPr>
    <w:rPr>
      <w:rFonts w:ascii="Times New Roman" w:eastAsia="楷体_GB2312"/>
      <w:szCs w:val="28"/>
    </w:rPr>
  </w:style>
  <w:style w:type="paragraph" w:styleId="69">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70">
    <w:name w:val="Char2"/>
    <w:basedOn w:val="1"/>
    <w:qFormat/>
    <w:uiPriority w:val="0"/>
    <w:pPr>
      <w:adjustRightInd w:val="0"/>
      <w:spacing w:line="400" w:lineRule="exact"/>
      <w:ind w:firstLine="480" w:firstLineChars="200"/>
    </w:pPr>
    <w:rPr>
      <w:rFonts w:ascii="Verdana" w:hAnsi="Verdana"/>
      <w:color w:val="800080"/>
      <w:sz w:val="24"/>
      <w:lang w:eastAsia="en-US"/>
    </w:rPr>
  </w:style>
  <w:style w:type="paragraph" w:customStyle="1" w:styleId="71">
    <w:name w:val="样式 首行缩进:  2 字符"/>
    <w:basedOn w:val="1"/>
    <w:qFormat/>
    <w:uiPriority w:val="0"/>
    <w:pPr>
      <w:spacing w:line="400" w:lineRule="exact"/>
      <w:ind w:firstLine="200" w:firstLineChars="200"/>
    </w:pPr>
    <w:rPr>
      <w:rFonts w:ascii="Times New Roman" w:cs="宋体"/>
      <w:sz w:val="24"/>
    </w:rPr>
  </w:style>
  <w:style w:type="paragraph" w:customStyle="1" w:styleId="72">
    <w:name w:val="规划正文"/>
    <w:basedOn w:val="1"/>
    <w:qFormat/>
    <w:uiPriority w:val="0"/>
    <w:pPr>
      <w:spacing w:beforeLines="100" w:line="360" w:lineRule="auto"/>
      <w:ind w:firstLine="200" w:firstLineChars="200"/>
      <w:jc w:val="left"/>
    </w:pPr>
    <w:rPr>
      <w:rFonts w:ascii="Arial" w:hAnsi="Arial" w:eastAsia="仿宋_GB2312"/>
      <w:bCs/>
      <w:sz w:val="28"/>
    </w:rPr>
  </w:style>
  <w:style w:type="paragraph" w:customStyle="1" w:styleId="73">
    <w:name w:val="Default"/>
    <w:qFormat/>
    <w:uiPriority w:val="99"/>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74">
    <w:name w:val="首行缩进"/>
    <w:basedOn w:val="1"/>
    <w:qFormat/>
    <w:uiPriority w:val="99"/>
    <w:pPr>
      <w:spacing w:line="360" w:lineRule="auto"/>
      <w:ind w:firstLine="480" w:firstLineChars="200"/>
      <w:jc w:val="left"/>
    </w:pPr>
    <w:rPr>
      <w:rFonts w:hAnsi="宋体"/>
      <w:sz w:val="24"/>
    </w:rPr>
  </w:style>
  <w:style w:type="paragraph" w:customStyle="1" w:styleId="75">
    <w:name w:val="正文 A"/>
    <w:next w:val="76"/>
    <w:qFormat/>
    <w:uiPriority w:val="0"/>
    <w:pPr>
      <w:widowControl w:val="0"/>
      <w:spacing w:line="360" w:lineRule="auto"/>
      <w:ind w:firstLine="1648"/>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76">
    <w:name w:val="正文文本1"/>
    <w:qFormat/>
    <w:uiPriority w:val="0"/>
    <w:pPr>
      <w:framePr w:wrap="around" w:vAnchor="margin" w:hAnchor="text" w:y="1"/>
      <w:widowControl w:val="0"/>
      <w:spacing w:after="120"/>
      <w:jc w:val="both"/>
    </w:pPr>
    <w:rPr>
      <w:rFonts w:hint="eastAsia" w:ascii="Arial Unicode MS" w:hAnsi="Arial Unicode MS" w:eastAsia="Times New Roman" w:cs="Arial Unicode MS"/>
      <w:color w:val="000000"/>
      <w:kern w:val="2"/>
      <w:sz w:val="21"/>
      <w:szCs w:val="21"/>
      <w:lang w:val="en-US" w:eastAsia="zh-CN" w:bidi="ar-SA"/>
    </w:rPr>
  </w:style>
  <w:style w:type="character" w:customStyle="1" w:styleId="77">
    <w:name w:val="正文首行缩进 2 字符"/>
    <w:basedOn w:val="40"/>
    <w:link w:val="2"/>
    <w:qFormat/>
    <w:uiPriority w:val="0"/>
    <w:rPr>
      <w:rFonts w:ascii="宋体" w:hAnsi="Calibri" w:eastAsia="宋体" w:cs="Times New Roman"/>
      <w:kern w:val="2"/>
      <w:sz w:val="34"/>
      <w:lang w:val="en-US" w:eastAsia="zh-CN" w:bidi="ar-SA"/>
    </w:rPr>
  </w:style>
  <w:style w:type="paragraph" w:customStyle="1" w:styleId="78">
    <w:name w:val="Table Paragraph"/>
    <w:basedOn w:val="1"/>
    <w:qFormat/>
    <w:uiPriority w:val="1"/>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29</Pages>
  <Words>13863</Words>
  <Characters>14674</Characters>
  <Lines>113</Lines>
  <Paragraphs>32</Paragraphs>
  <TotalTime>190</TotalTime>
  <ScaleCrop>false</ScaleCrop>
  <LinksUpToDate>false</LinksUpToDate>
  <CharactersWithSpaces>15148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2020-10-29T09:17:00Z</dcterms:created>
  <dc:creator>微软用户</dc:creator>
  <cp:lastModifiedBy>Administrator</cp:lastModifiedBy>
  <cp:lastPrinted>2022-07-26T04:53:00Z</cp:lastPrinted>
  <dcterms:modified xsi:type="dcterms:W3CDTF">2022-08-29T02:55:33Z</dcterms:modified>
  <dc:title>招标编号：SCSZ-2013-02</dc:title>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E7558D7948BD46B49D504D1EAC59F27E</vt:lpwstr>
  </property>
</Properties>
</file>