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rPr>
        <w:t>202</w:t>
      </w:r>
      <w:r>
        <w:rPr>
          <w:rFonts w:hAnsi="宋体" w:cs="宋体"/>
          <w:bCs/>
          <w:sz w:val="36"/>
          <w:szCs w:val="36"/>
        </w:rPr>
        <w:t>3</w:t>
      </w:r>
      <w:r>
        <w:rPr>
          <w:rFonts w:hint="eastAsia" w:hAnsi="宋体" w:cs="宋体"/>
          <w:bCs/>
          <w:sz w:val="36"/>
          <w:szCs w:val="36"/>
        </w:rPr>
        <w:t>年度零星工程维修单位遴选</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采购编号：TZY-ZB-202</w:t>
      </w:r>
      <w:r>
        <w:rPr>
          <w:rFonts w:hAnsi="宋体" w:cs="宋体"/>
          <w:bCs/>
          <w:sz w:val="30"/>
          <w:szCs w:val="30"/>
        </w:rPr>
        <w:t>3</w:t>
      </w:r>
      <w:r>
        <w:rPr>
          <w:rFonts w:hint="eastAsia" w:hAnsi="宋体" w:cs="宋体"/>
          <w:bCs/>
          <w:sz w:val="30"/>
          <w:szCs w:val="30"/>
          <w:lang w:val="en-US" w:eastAsia="zh-CN"/>
        </w:rPr>
        <w:t>005</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采购人:四川铁道职业学院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w:t>
      </w:r>
      <w:r>
        <w:rPr>
          <w:rFonts w:hAnsi="宋体" w:cs="宋体"/>
          <w:bCs/>
          <w:sz w:val="30"/>
          <w:szCs w:val="30"/>
        </w:rPr>
        <w:t>3</w:t>
      </w:r>
      <w:r>
        <w:rPr>
          <w:rFonts w:hint="eastAsia" w:hAnsi="宋体" w:cs="宋体"/>
          <w:bCs/>
          <w:sz w:val="30"/>
          <w:szCs w:val="30"/>
          <w:lang w:val="zh-CN"/>
        </w:rPr>
        <w:t>年</w:t>
      </w:r>
      <w:r>
        <w:rPr>
          <w:rFonts w:hAnsi="宋体" w:cs="宋体"/>
          <w:bCs/>
          <w:sz w:val="30"/>
          <w:szCs w:val="30"/>
        </w:rPr>
        <w:t>3</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4"/>
        <w:snapToGrid w:val="0"/>
        <w:spacing w:before="0" w:after="0" w:line="360" w:lineRule="auto"/>
        <w:jc w:val="center"/>
        <w:rPr>
          <w:rStyle w:val="25"/>
          <w:rFonts w:ascii="宋体" w:hAnsi="宋体" w:cs="宋体"/>
          <w:color w:val="auto"/>
          <w:kern w:val="2"/>
          <w:sz w:val="44"/>
          <w:szCs w:val="44"/>
          <w:u w:val="none"/>
        </w:rPr>
      </w:pPr>
      <w:r>
        <w:rPr>
          <w:rStyle w:val="25"/>
          <w:rFonts w:hint="eastAsia" w:ascii="宋体" w:hAnsi="宋体" w:cs="宋体"/>
          <w:color w:val="auto"/>
          <w:kern w:val="2"/>
          <w:sz w:val="44"/>
          <w:szCs w:val="44"/>
          <w:u w:val="none"/>
        </w:rPr>
        <w:t>目    录</w:t>
      </w:r>
    </w:p>
    <w:p/>
    <w:p>
      <w:pPr>
        <w:pStyle w:val="14"/>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4"/>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3</w:t>
      </w:r>
    </w:p>
    <w:p>
      <w:pPr>
        <w:pStyle w:val="14"/>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9</w:t>
      </w:r>
    </w:p>
    <w:p>
      <w:pPr>
        <w:pStyle w:val="14"/>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6</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0</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2</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3"/>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202</w:t>
      </w:r>
      <w:r>
        <w:rPr>
          <w:rFonts w:hAnsi="宋体" w:cs="宋体"/>
          <w:bCs/>
          <w:sz w:val="24"/>
          <w:szCs w:val="24"/>
          <w:u w:val="single"/>
        </w:rPr>
        <w:t>3</w:t>
      </w:r>
      <w:r>
        <w:rPr>
          <w:rFonts w:hint="eastAsia" w:hAnsi="宋体" w:cs="宋体"/>
          <w:bCs/>
          <w:sz w:val="24"/>
          <w:szCs w:val="24"/>
          <w:u w:val="single"/>
        </w:rPr>
        <w:t>年度零星工程维修单位遴选</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8"/>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TZY--ZB--202</w:t>
      </w:r>
      <w:r>
        <w:rPr>
          <w:rFonts w:hAnsi="宋体" w:cs="宋体"/>
          <w:bCs/>
          <w:sz w:val="24"/>
          <w:szCs w:val="24"/>
          <w:u w:val="single"/>
        </w:rPr>
        <w:t>3</w:t>
      </w:r>
      <w:r>
        <w:rPr>
          <w:rFonts w:hint="eastAsia" w:hAnsi="宋体" w:cs="宋体"/>
          <w:bCs/>
          <w:sz w:val="24"/>
          <w:szCs w:val="24"/>
          <w:u w:val="single"/>
          <w:lang w:val="en-US" w:eastAsia="zh-CN"/>
        </w:rPr>
        <w:t>005</w:t>
      </w:r>
    </w:p>
    <w:p>
      <w:pPr>
        <w:pStyle w:val="8"/>
        <w:numPr>
          <w:ilvl w:val="0"/>
          <w:numId w:val="2"/>
        </w:numPr>
        <w:snapToGrid w:val="0"/>
        <w:spacing w:line="360" w:lineRule="auto"/>
        <w:ind w:firstLine="441" w:firstLineChars="183"/>
        <w:rPr>
          <w:rFonts w:ascii="宋体" w:hAnsi="宋体" w:cs="宋体"/>
          <w:kern w:val="0"/>
          <w:sz w:val="24"/>
          <w:szCs w:val="24"/>
          <w:lang w:val="zh-CN"/>
        </w:rPr>
      </w:pPr>
      <w:r>
        <w:rPr>
          <w:rFonts w:hint="eastAsia" w:ascii="宋体" w:hAnsi="宋体" w:cs="宋体"/>
          <w:b/>
          <w:sz w:val="24"/>
          <w:szCs w:val="24"/>
        </w:rPr>
        <w:t>招标项目：</w:t>
      </w:r>
      <w:r>
        <w:rPr>
          <w:rFonts w:hint="eastAsia" w:ascii="宋体" w:hAnsi="宋体" w:cs="宋体"/>
          <w:kern w:val="0"/>
          <w:sz w:val="24"/>
          <w:szCs w:val="24"/>
        </w:rPr>
        <w:t>202</w:t>
      </w:r>
      <w:r>
        <w:rPr>
          <w:rFonts w:ascii="宋体" w:hAnsi="宋体" w:cs="宋体"/>
          <w:kern w:val="0"/>
          <w:sz w:val="24"/>
          <w:szCs w:val="24"/>
        </w:rPr>
        <w:t>3</w:t>
      </w:r>
      <w:r>
        <w:rPr>
          <w:rFonts w:hint="eastAsia" w:ascii="宋体" w:hAnsi="宋体" w:cs="宋体"/>
          <w:kern w:val="0"/>
          <w:sz w:val="24"/>
          <w:szCs w:val="24"/>
        </w:rPr>
        <w:t>年度零星工程维修单位遴选</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4"/>
        </w:rPr>
      </w:pPr>
      <w:r>
        <w:rPr>
          <w:rFonts w:hint="eastAsia" w:hAnsi="宋体" w:cs="宋体"/>
          <w:sz w:val="24"/>
          <w:szCs w:val="22"/>
        </w:rPr>
        <w:t>6.</w:t>
      </w:r>
      <w:r>
        <w:rPr>
          <w:rFonts w:hint="eastAsia" w:hAnsi="宋体" w:cs="宋体"/>
          <w:sz w:val="24"/>
          <w:szCs w:val="24"/>
        </w:rPr>
        <w:t>投标单位必须按照招标文件所规定的内容及要求进行投标并需仔细查看现场。</w:t>
      </w:r>
    </w:p>
    <w:p>
      <w:pPr>
        <w:tabs>
          <w:tab w:val="left" w:pos="7665"/>
        </w:tabs>
        <w:spacing w:line="440" w:lineRule="exact"/>
        <w:ind w:firstLine="600" w:firstLineChars="250"/>
        <w:rPr>
          <w:rFonts w:hAnsi="宋体" w:cs="宋体"/>
          <w:sz w:val="24"/>
          <w:szCs w:val="24"/>
        </w:rPr>
      </w:pPr>
      <w:r>
        <w:rPr>
          <w:rFonts w:hint="eastAsia" w:hAnsi="宋体" w:cs="宋体"/>
          <w:sz w:val="24"/>
          <w:szCs w:val="24"/>
        </w:rPr>
        <w:t>7.参加报价的单位或代理在认真阅读招标文件后须填写报价书和报价函（见附件），并提供以下证明及资料：</w:t>
      </w:r>
    </w:p>
    <w:p>
      <w:pPr>
        <w:tabs>
          <w:tab w:val="left" w:pos="7665"/>
        </w:tabs>
        <w:spacing w:line="440" w:lineRule="exact"/>
        <w:ind w:firstLine="600" w:firstLineChars="250"/>
        <w:rPr>
          <w:rFonts w:hAnsi="宋体" w:cs="宋体"/>
          <w:sz w:val="24"/>
          <w:szCs w:val="24"/>
        </w:rPr>
      </w:pPr>
      <w:r>
        <w:rPr>
          <w:rFonts w:hint="eastAsia" w:hAnsi="宋体" w:cs="宋体"/>
          <w:sz w:val="24"/>
          <w:szCs w:val="24"/>
        </w:rPr>
        <w:t>（1）投标人必须具有独立法人资格；有较稳定的施工人员队伍，施工设备能满足工程维修需要；</w:t>
      </w:r>
    </w:p>
    <w:p>
      <w:pPr>
        <w:tabs>
          <w:tab w:val="left" w:pos="7665"/>
        </w:tabs>
        <w:spacing w:line="440" w:lineRule="exact"/>
        <w:ind w:firstLine="600" w:firstLineChars="250"/>
        <w:rPr>
          <w:rFonts w:hAnsi="宋体" w:cs="宋体"/>
          <w:sz w:val="24"/>
          <w:szCs w:val="24"/>
        </w:rPr>
      </w:pPr>
      <w:r>
        <w:rPr>
          <w:rFonts w:hint="eastAsia" w:hAnsi="宋体" w:cs="宋体"/>
          <w:sz w:val="24"/>
          <w:szCs w:val="24"/>
        </w:rPr>
        <w:t>（2）投标人必须具备建设行政主管部门核发的房屋建筑工程总承包三级及以上或建筑装饰装修工程专业承包二级及以上资质等级；并具有有效的安全生产许可证；</w:t>
      </w:r>
    </w:p>
    <w:p>
      <w:pPr>
        <w:tabs>
          <w:tab w:val="left" w:pos="7665"/>
        </w:tabs>
        <w:spacing w:line="440" w:lineRule="exact"/>
        <w:ind w:firstLine="600" w:firstLineChars="250"/>
        <w:rPr>
          <w:rFonts w:hAnsi="宋体" w:cs="宋体"/>
          <w:sz w:val="24"/>
          <w:szCs w:val="24"/>
        </w:rPr>
      </w:pPr>
      <w:r>
        <w:rPr>
          <w:rFonts w:hint="eastAsia" w:hAnsi="宋体" w:cs="宋体"/>
          <w:sz w:val="24"/>
          <w:szCs w:val="24"/>
        </w:rPr>
        <w:t>（3）营业执照副本及复印件；</w:t>
      </w:r>
    </w:p>
    <w:p>
      <w:pPr>
        <w:tabs>
          <w:tab w:val="left" w:pos="7665"/>
        </w:tabs>
        <w:spacing w:line="440" w:lineRule="exact"/>
        <w:ind w:firstLine="600" w:firstLineChars="250"/>
        <w:rPr>
          <w:rFonts w:hAnsi="宋体" w:cs="宋体"/>
          <w:sz w:val="24"/>
          <w:szCs w:val="24"/>
        </w:rPr>
      </w:pPr>
      <w:r>
        <w:rPr>
          <w:rFonts w:hint="eastAsia" w:hAnsi="宋体" w:cs="宋体"/>
          <w:sz w:val="24"/>
          <w:szCs w:val="24"/>
        </w:rPr>
        <w:t>（4）安全生产许可证、企业组织代码证、其它有关资质证件；</w:t>
      </w:r>
    </w:p>
    <w:p>
      <w:pPr>
        <w:tabs>
          <w:tab w:val="left" w:pos="7665"/>
        </w:tabs>
        <w:spacing w:line="440" w:lineRule="exact"/>
        <w:ind w:firstLine="600" w:firstLineChars="250"/>
        <w:rPr>
          <w:rFonts w:hAnsi="宋体" w:cs="宋体"/>
          <w:sz w:val="24"/>
          <w:szCs w:val="24"/>
        </w:rPr>
      </w:pPr>
      <w:r>
        <w:rPr>
          <w:rFonts w:hint="eastAsia" w:hAnsi="宋体" w:cs="宋体"/>
          <w:sz w:val="24"/>
          <w:szCs w:val="24"/>
        </w:rPr>
        <w:t>（5）企业基本情况、拥有资产、专业技术人员情况介绍、企业业绩等介绍。</w:t>
      </w:r>
    </w:p>
    <w:p>
      <w:pPr>
        <w:tabs>
          <w:tab w:val="left" w:pos="7665"/>
        </w:tabs>
        <w:spacing w:line="440" w:lineRule="exact"/>
        <w:ind w:firstLine="600" w:firstLineChars="250"/>
        <w:rPr>
          <w:rFonts w:hAnsi="宋体" w:cs="宋体"/>
          <w:sz w:val="24"/>
          <w:szCs w:val="22"/>
        </w:rPr>
      </w:pPr>
      <w:r>
        <w:rPr>
          <w:rFonts w:hint="eastAsia" w:hAnsi="宋体" w:cs="宋体"/>
          <w:sz w:val="24"/>
          <w:szCs w:val="22"/>
        </w:rPr>
        <w:t>8.法律、行政法规规定的其他条件。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9.本项目不接受联合体参与招标。</w:t>
      </w:r>
    </w:p>
    <w:p>
      <w:pPr>
        <w:snapToGrid w:val="0"/>
        <w:spacing w:line="360" w:lineRule="auto"/>
        <w:ind w:firstLine="479" w:firstLineChars="199"/>
        <w:rPr>
          <w:rFonts w:hAnsi="宋体" w:cs="宋体"/>
          <w:sz w:val="24"/>
          <w:szCs w:val="24"/>
        </w:rPr>
      </w:pPr>
      <w:r>
        <w:rPr>
          <w:rFonts w:hint="eastAsia" w:hAnsi="宋体" w:cs="宋体"/>
          <w:b/>
          <w:sz w:val="24"/>
          <w:szCs w:val="24"/>
        </w:rPr>
        <w:t xml:space="preserve">六、投标截止时间和开标时间： </w:t>
      </w:r>
      <w:r>
        <w:rPr>
          <w:rFonts w:hint="eastAsia" w:hAnsi="宋体" w:cs="宋体"/>
          <w:sz w:val="24"/>
          <w:szCs w:val="24"/>
        </w:rPr>
        <w:t>202</w:t>
      </w:r>
      <w:r>
        <w:rPr>
          <w:rFonts w:hAnsi="宋体" w:cs="宋体"/>
          <w:sz w:val="24"/>
          <w:szCs w:val="24"/>
        </w:rPr>
        <w:t>3</w:t>
      </w:r>
      <w:r>
        <w:rPr>
          <w:rFonts w:hint="eastAsia" w:hAnsi="宋体" w:cs="宋体"/>
          <w:sz w:val="24"/>
          <w:szCs w:val="24"/>
        </w:rPr>
        <w:t>年</w:t>
      </w:r>
      <w:r>
        <w:rPr>
          <w:rFonts w:hint="eastAsia" w:hAnsi="宋体" w:cs="宋体"/>
          <w:sz w:val="24"/>
          <w:szCs w:val="24"/>
          <w:lang w:val="en-US" w:eastAsia="zh-CN"/>
        </w:rPr>
        <w:t>3</w:t>
      </w:r>
      <w:r>
        <w:rPr>
          <w:rFonts w:hAnsi="宋体" w:cs="宋体"/>
          <w:sz w:val="24"/>
          <w:szCs w:val="24"/>
        </w:rPr>
        <w:t xml:space="preserve"> </w:t>
      </w:r>
      <w:r>
        <w:rPr>
          <w:rFonts w:hint="eastAsia" w:hAnsi="宋体" w:cs="宋体"/>
          <w:sz w:val="24"/>
          <w:szCs w:val="24"/>
        </w:rPr>
        <w:t>月</w:t>
      </w:r>
      <w:r>
        <w:rPr>
          <w:rFonts w:hint="eastAsia" w:hAnsi="宋体" w:cs="宋体"/>
          <w:sz w:val="24"/>
          <w:szCs w:val="24"/>
          <w:lang w:val="en-US" w:eastAsia="zh-CN"/>
        </w:rPr>
        <w:t>13</w:t>
      </w:r>
      <w:r>
        <w:rPr>
          <w:rFonts w:hint="eastAsia" w:hAnsi="宋体" w:cs="宋体"/>
          <w:sz w:val="24"/>
          <w:szCs w:val="24"/>
        </w:rPr>
        <w:t>日</w:t>
      </w:r>
      <w:r>
        <w:rPr>
          <w:rFonts w:hAnsi="宋体" w:cs="宋体"/>
          <w:sz w:val="24"/>
          <w:szCs w:val="24"/>
        </w:rPr>
        <w:t xml:space="preserve"> </w:t>
      </w:r>
      <w:r>
        <w:rPr>
          <w:rFonts w:hint="eastAsia" w:hAnsi="宋体" w:cs="宋体"/>
          <w:sz w:val="24"/>
          <w:szCs w:val="24"/>
          <w:lang w:val="en-US" w:eastAsia="zh-CN"/>
        </w:rPr>
        <w:t>10:00</w:t>
      </w:r>
      <w:r>
        <w:rPr>
          <w:rFonts w:hAnsi="宋体" w:cs="宋体"/>
          <w:sz w:val="24"/>
          <w:szCs w:val="24"/>
        </w:rPr>
        <w:t xml:space="preserve"> </w:t>
      </w:r>
      <w:r>
        <w:rPr>
          <w:rFonts w:hint="eastAsia" w:hAnsi="宋体" w:cs="宋体"/>
          <w:sz w:val="24"/>
          <w:szCs w:val="24"/>
        </w:rPr>
        <w:t xml:space="preserve"> （北京时间）。</w:t>
      </w:r>
    </w:p>
    <w:p>
      <w:pPr>
        <w:pStyle w:val="8"/>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四川成都郫都区安德街道彭温路399号</w:t>
      </w:r>
      <w:r>
        <w:rPr>
          <w:rFonts w:hint="eastAsia" w:hAnsi="宋体" w:cs="宋体"/>
          <w:sz w:val="24"/>
          <w:lang w:eastAsia="zh-CN"/>
        </w:rPr>
        <w:t>四川铁道职业学院</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8"/>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特别说明：因疫情期间，为保证安全，服从学校管理，做好个人防护。</w:t>
      </w:r>
    </w:p>
    <w:p>
      <w:pPr>
        <w:pStyle w:val="8"/>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四川成都郫都区安德街道彭温路399号后勤基建</w:t>
      </w:r>
      <w:r>
        <w:rPr>
          <w:rFonts w:hint="eastAsia" w:hAnsi="宋体" w:cs="宋体"/>
          <w:sz w:val="24"/>
          <w:lang w:eastAsia="zh-CN"/>
        </w:rPr>
        <w:t>办公区</w:t>
      </w:r>
      <w:r>
        <w:rPr>
          <w:rFonts w:hint="eastAsia" w:hAnsi="宋体" w:cs="宋体"/>
          <w:sz w:val="24"/>
        </w:rPr>
        <w:t>2F开标室</w:t>
      </w: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7"/>
        <w:snapToGrid w:val="0"/>
        <w:ind w:firstLine="919" w:firstLineChars="383"/>
        <w:rPr>
          <w:rFonts w:hAnsi="宋体" w:cs="宋体"/>
          <w:sz w:val="24"/>
          <w:highlight w:val="yellow"/>
        </w:rPr>
      </w:pPr>
      <w:r>
        <w:rPr>
          <w:rFonts w:hint="eastAsia" w:hAnsi="宋体" w:cs="宋体"/>
          <w:bCs/>
          <w:sz w:val="24"/>
        </w:rPr>
        <w:t xml:space="preserve">地址： </w:t>
      </w:r>
      <w:r>
        <w:rPr>
          <w:rFonts w:hint="eastAsia" w:hAnsi="宋体" w:cs="宋体"/>
          <w:sz w:val="24"/>
        </w:rPr>
        <w:t>四川成都郫都区安德街道彭温路399号</w:t>
      </w:r>
    </w:p>
    <w:p>
      <w:pPr>
        <w:pStyle w:val="57"/>
        <w:snapToGrid w:val="0"/>
        <w:ind w:firstLine="919" w:firstLineChars="383"/>
        <w:rPr>
          <w:rFonts w:hAnsi="宋体" w:cs="宋体"/>
          <w:sz w:val="24"/>
        </w:rPr>
      </w:pPr>
      <w:r>
        <w:rPr>
          <w:rFonts w:hint="eastAsia" w:hAnsi="宋体" w:cs="宋体"/>
          <w:sz w:val="24"/>
        </w:rPr>
        <w:t xml:space="preserve">联系人：贺老师 </w:t>
      </w:r>
      <w:r>
        <w:rPr>
          <w:rFonts w:hint="eastAsia" w:hAnsi="宋体" w:cs="宋体"/>
          <w:sz w:val="24"/>
          <w:lang w:eastAsia="zh-CN"/>
        </w:rPr>
        <w:t>、</w:t>
      </w:r>
      <w:r>
        <w:rPr>
          <w:rFonts w:hint="eastAsia" w:hAnsi="宋体" w:cs="宋体"/>
          <w:sz w:val="24"/>
        </w:rPr>
        <w:t xml:space="preserve"> </w:t>
      </w:r>
      <w:r>
        <w:rPr>
          <w:rFonts w:hint="eastAsia" w:hAnsi="宋体" w:cs="宋体"/>
          <w:sz w:val="24"/>
          <w:lang w:eastAsia="zh-CN"/>
        </w:rPr>
        <w:t>赵</w:t>
      </w:r>
      <w:r>
        <w:rPr>
          <w:rFonts w:hint="eastAsia" w:hAnsi="宋体" w:cs="宋体"/>
          <w:sz w:val="24"/>
        </w:rPr>
        <w:t xml:space="preserve">老师  </w:t>
      </w:r>
    </w:p>
    <w:p>
      <w:pPr>
        <w:pStyle w:val="57"/>
        <w:snapToGrid w:val="0"/>
        <w:ind w:firstLine="919" w:firstLineChars="383"/>
        <w:rPr>
          <w:rFonts w:hAnsi="宋体" w:cs="宋体"/>
          <w:sz w:val="24"/>
        </w:rPr>
      </w:pPr>
      <w:r>
        <w:rPr>
          <w:rFonts w:hint="eastAsia" w:hAnsi="宋体" w:cs="宋体"/>
          <w:sz w:val="24"/>
        </w:rPr>
        <w:t>联系电话：028-68939</w:t>
      </w:r>
      <w:r>
        <w:rPr>
          <w:rFonts w:hint="eastAsia" w:hAnsi="宋体" w:cs="宋体"/>
          <w:sz w:val="24"/>
          <w:lang w:val="en-US" w:eastAsia="zh-CN"/>
        </w:rPr>
        <w:t>875</w:t>
      </w:r>
      <w:r>
        <w:rPr>
          <w:rFonts w:hint="eastAsia" w:hAnsi="宋体" w:cs="宋体"/>
          <w:sz w:val="24"/>
        </w:rPr>
        <w:t xml:space="preserve">   028-68939920</w:t>
      </w:r>
    </w:p>
    <w:p>
      <w:pPr>
        <w:pStyle w:val="57"/>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18"/>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3"/>
        <w:snapToGrid w:val="0"/>
        <w:spacing w:before="0" w:after="0" w:line="360" w:lineRule="auto"/>
        <w:jc w:val="center"/>
        <w:rPr>
          <w:rFonts w:hAnsi="宋体" w:cs="宋体"/>
          <w:sz w:val="30"/>
          <w:szCs w:val="30"/>
        </w:rPr>
      </w:pPr>
      <w:bookmarkStart w:id="5" w:name="_Toc213396759"/>
      <w:bookmarkStart w:id="6" w:name="_Toc358883242"/>
      <w:bookmarkStart w:id="7" w:name="_Toc213396945"/>
      <w:bookmarkStart w:id="8" w:name="_Toc213496267"/>
      <w:bookmarkStart w:id="9" w:name="_Toc213397009"/>
      <w:bookmarkStart w:id="10" w:name="_Toc217446031"/>
      <w:r>
        <w:rPr>
          <w:rFonts w:hint="eastAsia" w:hAnsi="宋体" w:cs="宋体"/>
          <w:sz w:val="30"/>
          <w:szCs w:val="30"/>
        </w:rPr>
        <w:t>第二章  投标人须知</w:t>
      </w:r>
      <w:bookmarkEnd w:id="5"/>
      <w:bookmarkEnd w:id="6"/>
      <w:bookmarkEnd w:id="7"/>
      <w:bookmarkEnd w:id="8"/>
      <w:bookmarkEnd w:id="9"/>
      <w:bookmarkEnd w:id="10"/>
    </w:p>
    <w:p>
      <w:pPr>
        <w:pStyle w:val="4"/>
        <w:snapToGrid w:val="0"/>
        <w:spacing w:before="0" w:after="0" w:line="360" w:lineRule="auto"/>
        <w:jc w:val="center"/>
        <w:rPr>
          <w:rFonts w:ascii="宋体" w:hAnsi="宋体" w:eastAsia="宋体" w:cs="宋体"/>
          <w:sz w:val="30"/>
          <w:szCs w:val="30"/>
        </w:rPr>
      </w:pPr>
      <w:bookmarkStart w:id="11" w:name="_Toc217446032"/>
      <w:bookmarkStart w:id="12" w:name="_Toc189727030"/>
      <w:bookmarkStart w:id="13" w:name="_Toc213396946"/>
      <w:bookmarkStart w:id="14" w:name="_Toc213496268"/>
      <w:bookmarkStart w:id="15" w:name="_Toc213397010"/>
      <w:bookmarkStart w:id="16" w:name="_Toc21339676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四川成都郫都区安德街道彭温路399号</w:t>
            </w:r>
          </w:p>
          <w:p>
            <w:pPr>
              <w:pStyle w:val="59"/>
              <w:snapToGrid w:val="0"/>
              <w:spacing w:line="360" w:lineRule="auto"/>
              <w:ind w:firstLine="240" w:firstLineChars="100"/>
            </w:pPr>
            <w:r>
              <w:rPr>
                <w:rFonts w:hint="eastAsia"/>
                <w:lang w:val="zh-CN"/>
              </w:rPr>
              <w:t>联 系 人：</w:t>
            </w:r>
            <w:r>
              <w:rPr>
                <w:rFonts w:hint="eastAsia"/>
              </w:rPr>
              <w:t xml:space="preserve">贺老师  </w:t>
            </w:r>
            <w:r>
              <w:rPr>
                <w:rFonts w:hint="eastAsia"/>
                <w:lang w:eastAsia="zh-CN"/>
              </w:rPr>
              <w:t>赵</w:t>
            </w:r>
            <w:r>
              <w:rPr>
                <w:rFonts w:hint="eastAsia"/>
              </w:rPr>
              <w:t>老师</w:t>
            </w:r>
          </w:p>
          <w:p>
            <w:pPr>
              <w:pStyle w:val="59"/>
              <w:snapToGrid w:val="0"/>
              <w:spacing w:line="360" w:lineRule="auto"/>
              <w:ind w:firstLine="240" w:firstLineChars="100"/>
            </w:pPr>
            <w:r>
              <w:rPr>
                <w:rFonts w:hint="eastAsia"/>
                <w:lang w:val="zh-CN"/>
              </w:rPr>
              <w:t>联系电话：</w:t>
            </w:r>
            <w:r>
              <w:rPr>
                <w:rFonts w:hint="eastAsia"/>
              </w:rPr>
              <w:t>028-6893</w:t>
            </w:r>
            <w:r>
              <w:rPr>
                <w:rFonts w:hint="eastAsia"/>
                <w:lang w:val="en-US" w:eastAsia="zh-CN"/>
              </w:rPr>
              <w:t>9875</w:t>
            </w:r>
            <w:r>
              <w:rPr>
                <w:rFonts w:hint="eastAsia"/>
              </w:rPr>
              <w:t xml:space="preserve">  028-68939920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rPr>
                <w:lang w:val="zh-CN"/>
              </w:rPr>
            </w:pPr>
            <w:r>
              <w:rPr>
                <w:rFonts w:hint="eastAsia"/>
                <w:lang w:val="zh-CN"/>
              </w:rPr>
              <w:t>202</w:t>
            </w:r>
            <w:r>
              <w:rPr>
                <w:lang w:val="zh-CN"/>
              </w:rPr>
              <w:t>3</w:t>
            </w:r>
            <w:r>
              <w:rPr>
                <w:rFonts w:hint="eastAsia"/>
                <w:lang w:val="zh-CN"/>
              </w:rPr>
              <w:t>年度零星工程维修单位遴选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rPr>
                <w:rFonts w:hint="default" w:eastAsia="宋体"/>
                <w:lang w:val="en-US" w:eastAsia="zh-CN"/>
              </w:rPr>
            </w:pPr>
            <w:r>
              <w:rPr>
                <w:rFonts w:hint="eastAsia"/>
              </w:rPr>
              <w:t>TZY-ZB-202</w:t>
            </w:r>
            <w:r>
              <w:t>3</w:t>
            </w:r>
            <w:r>
              <w:rPr>
                <w:rFonts w:hint="eastAsia"/>
                <w:lang w:val="en-US" w:eastAsia="zh-CN"/>
              </w:rPr>
              <w:t>005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pPr>
            <w:r>
              <w:rPr>
                <w:rFonts w:hint="eastAsia"/>
              </w:rPr>
              <w:t>1</w:t>
            </w:r>
            <w:r>
              <w:t>8</w:t>
            </w:r>
            <w:r>
              <w:rPr>
                <w:rFonts w:hint="eastAsia"/>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rPr>
              <w:t>202</w:t>
            </w:r>
            <w:r>
              <w:t>3</w:t>
            </w:r>
            <w:r>
              <w:rPr>
                <w:rFonts w:hint="eastAsia"/>
                <w:lang w:val="zh-CN"/>
              </w:rPr>
              <w:t>年</w:t>
            </w:r>
            <w:r>
              <w:t xml:space="preserve"> </w:t>
            </w:r>
            <w:r>
              <w:rPr>
                <w:rFonts w:hint="eastAsia"/>
                <w:lang w:val="en-US" w:eastAsia="zh-CN"/>
              </w:rPr>
              <w:t>3</w:t>
            </w:r>
            <w:r>
              <w:t xml:space="preserve"> </w:t>
            </w:r>
            <w:r>
              <w:rPr>
                <w:rFonts w:hint="eastAsia"/>
              </w:rPr>
              <w:t>月</w:t>
            </w:r>
            <w:r>
              <w:t xml:space="preserve"> </w:t>
            </w:r>
            <w:r>
              <w:rPr>
                <w:rFonts w:hint="eastAsia"/>
                <w:lang w:val="en-US" w:eastAsia="zh-CN"/>
              </w:rPr>
              <w:t>13</w:t>
            </w:r>
            <w:r>
              <w:t xml:space="preserve"> </w:t>
            </w:r>
            <w:r>
              <w:rPr>
                <w:rFonts w:hint="eastAsia"/>
                <w:lang w:val="zh-CN"/>
              </w:rPr>
              <w:t>日</w:t>
            </w:r>
            <w:r>
              <w:t xml:space="preserve">  </w:t>
            </w:r>
            <w:r>
              <w:rPr>
                <w:rFonts w:hint="eastAsia"/>
                <w:lang w:val="en-US" w:eastAsia="zh-CN"/>
              </w:rPr>
              <w:t>10:00</w:t>
            </w:r>
            <w:r>
              <w:rPr>
                <w:rFonts w:hint="eastAsia"/>
                <w:lang w:val="zh-CN"/>
              </w:rPr>
              <w:t>（北京时间）</w:t>
            </w:r>
          </w:p>
          <w:p>
            <w:pPr>
              <w:pStyle w:val="59"/>
              <w:snapToGrid w:val="0"/>
              <w:spacing w:line="360" w:lineRule="auto"/>
              <w:ind w:firstLine="240" w:firstLineChars="100"/>
            </w:pPr>
            <w:r>
              <w:rPr>
                <w:rFonts w:hint="eastAsia"/>
                <w:lang w:val="zh-CN"/>
              </w:rPr>
              <w:t>地点：四川成都郫都区安德街道彭温路399号后勤基建办公区2F开标室</w:t>
            </w:r>
          </w:p>
        </w:tc>
      </w:tr>
    </w:tbl>
    <w:p>
      <w:pPr>
        <w:snapToGrid w:val="0"/>
        <w:spacing w:line="360" w:lineRule="auto"/>
        <w:rPr>
          <w:rFonts w:hAnsi="宋体" w:cs="宋体"/>
          <w:bCs/>
          <w:sz w:val="30"/>
          <w:szCs w:val="30"/>
        </w:rPr>
      </w:pPr>
    </w:p>
    <w:p>
      <w:pPr>
        <w:pStyle w:val="4"/>
        <w:snapToGrid w:val="0"/>
        <w:spacing w:before="0" w:after="0" w:line="360" w:lineRule="auto"/>
        <w:jc w:val="center"/>
        <w:rPr>
          <w:rFonts w:ascii="宋体" w:hAnsi="宋体" w:eastAsia="宋体" w:cs="宋体"/>
          <w:sz w:val="30"/>
          <w:szCs w:val="30"/>
        </w:rPr>
      </w:pPr>
      <w:bookmarkStart w:id="17" w:name="_Toc217446038"/>
      <w:bookmarkStart w:id="18" w:name="_Toc183582209"/>
      <w:bookmarkStart w:id="19" w:name="_Toc77400779"/>
      <w:bookmarkStart w:id="20" w:name="_Toc183682346"/>
      <w:bookmarkStart w:id="21" w:name="_Toc89075875"/>
      <w:r>
        <w:rPr>
          <w:rFonts w:hint="eastAsia" w:ascii="宋体" w:hAnsi="宋体" w:eastAsia="宋体" w:cs="宋体"/>
          <w:sz w:val="30"/>
          <w:szCs w:val="30"/>
        </w:rPr>
        <w:t>二、招标文件</w:t>
      </w:r>
      <w:bookmarkEnd w:id="17"/>
      <w:bookmarkEnd w:id="18"/>
      <w:bookmarkEnd w:id="19"/>
      <w:bookmarkEnd w:id="20"/>
      <w:bookmarkEnd w:id="21"/>
    </w:p>
    <w:p>
      <w:pPr>
        <w:pStyle w:val="5"/>
        <w:snapToGrid w:val="0"/>
        <w:spacing w:before="0" w:after="0" w:line="360" w:lineRule="auto"/>
        <w:ind w:firstLine="161" w:firstLineChars="67"/>
        <w:rPr>
          <w:rFonts w:hAnsi="宋体" w:cs="宋体"/>
          <w:sz w:val="24"/>
          <w:szCs w:val="24"/>
        </w:rPr>
      </w:pPr>
      <w:bookmarkStart w:id="22" w:name="_Toc183682347"/>
      <w:bookmarkStart w:id="23" w:name="_Toc217446039"/>
      <w:bookmarkStart w:id="24" w:name="_Toc183582210"/>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4"/>
        <w:snapToGrid w:val="0"/>
        <w:spacing w:before="0" w:after="0" w:line="360" w:lineRule="auto"/>
        <w:jc w:val="center"/>
        <w:rPr>
          <w:rFonts w:ascii="宋体" w:hAnsi="宋体" w:eastAsia="宋体" w:cs="宋体"/>
          <w:sz w:val="30"/>
          <w:szCs w:val="30"/>
        </w:rPr>
      </w:pPr>
      <w:bookmarkStart w:id="28" w:name="_Toc89075876"/>
      <w:bookmarkStart w:id="29" w:name="_Toc77400780"/>
      <w:bookmarkStart w:id="30" w:name="_Toc183682351"/>
      <w:bookmarkStart w:id="31" w:name="_Toc183582214"/>
      <w:bookmarkStart w:id="32" w:name="_Toc217446042"/>
      <w:r>
        <w:rPr>
          <w:rFonts w:hint="eastAsia" w:ascii="宋体" w:hAnsi="宋体" w:eastAsia="宋体" w:cs="宋体"/>
          <w:sz w:val="30"/>
          <w:szCs w:val="30"/>
        </w:rPr>
        <w:t>三、投标文件</w:t>
      </w:r>
      <w:bookmarkEnd w:id="28"/>
      <w:bookmarkEnd w:id="29"/>
      <w:bookmarkEnd w:id="30"/>
      <w:bookmarkEnd w:id="31"/>
      <w:bookmarkEnd w:id="32"/>
    </w:p>
    <w:p>
      <w:pPr>
        <w:pStyle w:val="5"/>
        <w:snapToGrid w:val="0"/>
        <w:spacing w:before="0" w:after="0" w:line="360" w:lineRule="auto"/>
        <w:ind w:firstLine="161" w:firstLineChars="67"/>
        <w:rPr>
          <w:rFonts w:hAnsi="宋体" w:cs="宋体"/>
          <w:sz w:val="24"/>
          <w:szCs w:val="24"/>
        </w:rPr>
      </w:pPr>
      <w:bookmarkStart w:id="33" w:name="_Toc183682352"/>
      <w:bookmarkStart w:id="34" w:name="_Toc183582215"/>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5"/>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5"/>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5"/>
        <w:snapToGrid w:val="0"/>
        <w:spacing w:before="0" w:after="0" w:line="360" w:lineRule="auto"/>
        <w:ind w:firstLine="161" w:firstLineChars="67"/>
        <w:rPr>
          <w:rFonts w:hAnsi="宋体" w:cs="宋体"/>
          <w:sz w:val="24"/>
          <w:szCs w:val="24"/>
        </w:rPr>
      </w:pPr>
      <w:bookmarkStart w:id="38" w:name="_Toc183582217"/>
      <w:bookmarkStart w:id="39" w:name="_Toc183682354"/>
      <w:bookmarkStart w:id="40" w:name="_Toc217446048"/>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682355"/>
      <w:bookmarkStart w:id="44" w:name="_Toc183582218"/>
      <w:bookmarkStart w:id="45" w:name="_Toc217446049"/>
      <w:r>
        <w:rPr>
          <w:rFonts w:hint="eastAsia" w:hAnsi="宋体" w:cs="宋体"/>
          <w:sz w:val="24"/>
          <w:szCs w:val="24"/>
        </w:rPr>
        <w:t>。</w:t>
      </w:r>
    </w:p>
    <w:p>
      <w:pPr>
        <w:pStyle w:val="5"/>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8"/>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8"/>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8"/>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5"/>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8"/>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8"/>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5"/>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5"/>
        <w:snapToGrid w:val="0"/>
        <w:spacing w:before="0" w:after="0" w:line="360" w:lineRule="auto"/>
        <w:ind w:firstLine="161" w:firstLineChars="67"/>
        <w:rPr>
          <w:rFonts w:hAnsi="宋体" w:cs="宋体"/>
          <w:sz w:val="24"/>
          <w:szCs w:val="24"/>
        </w:rPr>
      </w:pPr>
      <w:bookmarkStart w:id="46" w:name="_Toc217446051"/>
      <w:bookmarkStart w:id="47" w:name="_Toc183582224"/>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5"/>
        <w:snapToGrid w:val="0"/>
        <w:spacing w:before="0" w:after="0" w:line="360" w:lineRule="auto"/>
        <w:ind w:firstLine="161" w:firstLineChars="67"/>
        <w:rPr>
          <w:rFonts w:hAnsi="宋体" w:cs="宋体"/>
          <w:sz w:val="24"/>
          <w:szCs w:val="24"/>
        </w:rPr>
      </w:pPr>
      <w:bookmarkStart w:id="49" w:name="_Toc183582226"/>
      <w:bookmarkStart w:id="50" w:name="_Toc89075877"/>
      <w:bookmarkStart w:id="51" w:name="_Toc183682363"/>
      <w:bookmarkStart w:id="52" w:name="_Toc77400781"/>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5"/>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5"/>
        <w:snapToGrid w:val="0"/>
        <w:spacing w:before="0" w:after="0" w:line="360" w:lineRule="auto"/>
        <w:ind w:firstLine="161" w:firstLineChars="67"/>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89075878"/>
      <w:bookmarkStart w:id="61" w:name="_Toc183682368"/>
      <w:bookmarkStart w:id="62" w:name="_Toc183582231"/>
      <w:bookmarkStart w:id="63" w:name="_Toc77400782"/>
      <w:bookmarkStart w:id="64" w:name="_Toc217446056"/>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217446057"/>
      <w:bookmarkStart w:id="66" w:name="_Toc183682369"/>
      <w:bookmarkStart w:id="67" w:name="_Toc183582232"/>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5"/>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5"/>
        <w:snapToGrid w:val="0"/>
        <w:spacing w:before="0" w:after="0" w:line="360" w:lineRule="auto"/>
        <w:ind w:firstLine="161" w:firstLineChars="67"/>
        <w:rPr>
          <w:rFonts w:hAnsi="宋体" w:cs="宋体"/>
          <w:sz w:val="24"/>
          <w:szCs w:val="24"/>
        </w:rPr>
      </w:pPr>
      <w:bookmarkStart w:id="68" w:name="_Toc183582238"/>
      <w:bookmarkStart w:id="69" w:name="_Toc183682375"/>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4"/>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4"/>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4"/>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4"/>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4"/>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6"/>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6"/>
        <w:snapToGrid w:val="0"/>
        <w:spacing w:line="360" w:lineRule="auto"/>
        <w:ind w:firstLine="160" w:firstLineChars="67"/>
        <w:rPr>
          <w:rFonts w:hAnsi="宋体" w:cs="宋体"/>
          <w:sz w:val="24"/>
        </w:rPr>
      </w:pPr>
      <w:r>
        <w:rPr>
          <w:rFonts w:hint="eastAsia" w:hAnsi="宋体" w:cs="宋体"/>
          <w:sz w:val="24"/>
        </w:rPr>
        <w:t>（1）提供虚假材料谋取中标；</w:t>
      </w:r>
    </w:p>
    <w:p>
      <w:pPr>
        <w:pStyle w:val="6"/>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6"/>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6"/>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6"/>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6"/>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6"/>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4"/>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6"/>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w:t>
      </w:r>
      <w:r>
        <w:rPr>
          <w:rFonts w:hint="eastAsia" w:hAnsi="宋体" w:cs="宋体"/>
          <w:sz w:val="24"/>
          <w:lang w:val="en-US" w:eastAsia="zh-CN"/>
        </w:rPr>
        <w:t>5</w:t>
      </w:r>
      <w:r>
        <w:rPr>
          <w:rFonts w:hint="eastAsia" w:hAnsi="宋体" w:cs="宋体"/>
          <w:sz w:val="24"/>
        </w:rPr>
        <w:t>。</w:t>
      </w:r>
      <w:bookmarkStart w:id="84" w:name="_Toc358883243"/>
    </w:p>
    <w:p>
      <w:pPr>
        <w:pStyle w:val="10"/>
        <w:snapToGrid w:val="0"/>
        <w:spacing w:line="360" w:lineRule="auto"/>
        <w:ind w:firstLine="480" w:firstLineChars="200"/>
        <w:rPr>
          <w:rFonts w:hAnsi="宋体" w:cs="宋体"/>
          <w:sz w:val="24"/>
        </w:rPr>
      </w:pPr>
    </w:p>
    <w:p>
      <w:pPr>
        <w:pStyle w:val="10"/>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rPr>
          <w:rFonts w:ascii="Times New Roman"/>
        </w:rPr>
      </w:pPr>
    </w:p>
    <w:p>
      <w:pPr>
        <w:pStyle w:val="3"/>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4"/>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0"/>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0"/>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0"/>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0041691"/>
      <w:bookmarkStart w:id="88" w:name="_Toc297204985"/>
      <w:bookmarkStart w:id="89" w:name="_Toc237145385"/>
      <w:bookmarkStart w:id="90" w:name="_Toc263768864"/>
      <w:bookmarkStart w:id="91" w:name="_Toc263753600"/>
      <w:bookmarkStart w:id="92" w:name="_Toc256175382"/>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4"/>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55"/>
        <w:gridCol w:w="1890"/>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755" w:type="dxa"/>
            <w:vAlign w:val="center"/>
          </w:tcPr>
          <w:p>
            <w:pPr>
              <w:snapToGrid w:val="0"/>
              <w:spacing w:line="360" w:lineRule="auto"/>
              <w:jc w:val="center"/>
              <w:rPr>
                <w:rFonts w:hAnsi="宋体" w:cs="宋体"/>
                <w:sz w:val="24"/>
                <w:szCs w:val="24"/>
              </w:rPr>
            </w:pPr>
            <w:r>
              <w:rPr>
                <w:rFonts w:hint="eastAsia" w:hAnsi="宋体" w:cs="宋体"/>
                <w:sz w:val="24"/>
                <w:szCs w:val="24"/>
              </w:rPr>
              <w:t>项目名称</w:t>
            </w:r>
          </w:p>
        </w:tc>
        <w:tc>
          <w:tcPr>
            <w:tcW w:w="1890" w:type="dxa"/>
            <w:vAlign w:val="center"/>
          </w:tcPr>
          <w:p>
            <w:pPr>
              <w:snapToGrid w:val="0"/>
              <w:spacing w:line="360" w:lineRule="auto"/>
              <w:jc w:val="center"/>
              <w:rPr>
                <w:rFonts w:hAnsi="宋体" w:cs="宋体"/>
                <w:sz w:val="24"/>
                <w:szCs w:val="24"/>
              </w:rPr>
            </w:pPr>
            <w:r>
              <w:rPr>
                <w:rFonts w:hint="eastAsia" w:hAnsi="宋体" w:cs="宋体"/>
                <w:sz w:val="24"/>
                <w:szCs w:val="24"/>
              </w:rPr>
              <w:t>主要品牌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755" w:type="dxa"/>
            <w:vAlign w:val="center"/>
          </w:tcPr>
          <w:p>
            <w:pPr>
              <w:snapToGrid w:val="0"/>
              <w:spacing w:line="360" w:lineRule="auto"/>
              <w:jc w:val="left"/>
              <w:rPr>
                <w:rFonts w:hAnsi="宋体" w:cs="宋体"/>
                <w:sz w:val="24"/>
                <w:szCs w:val="24"/>
              </w:rPr>
            </w:pPr>
          </w:p>
        </w:tc>
        <w:tc>
          <w:tcPr>
            <w:tcW w:w="1890"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755" w:type="dxa"/>
            <w:vAlign w:val="center"/>
          </w:tcPr>
          <w:p>
            <w:pPr>
              <w:snapToGrid w:val="0"/>
              <w:spacing w:line="360" w:lineRule="auto"/>
              <w:jc w:val="left"/>
              <w:rPr>
                <w:rFonts w:hAnsi="宋体" w:cs="宋体"/>
                <w:sz w:val="24"/>
                <w:szCs w:val="24"/>
              </w:rPr>
            </w:pPr>
          </w:p>
        </w:tc>
        <w:tc>
          <w:tcPr>
            <w:tcW w:w="1890"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755" w:type="dxa"/>
            <w:vAlign w:val="center"/>
          </w:tcPr>
          <w:p>
            <w:pPr>
              <w:snapToGrid w:val="0"/>
              <w:spacing w:line="360" w:lineRule="auto"/>
              <w:jc w:val="left"/>
              <w:rPr>
                <w:rFonts w:hAnsi="宋体" w:cs="宋体"/>
                <w:sz w:val="24"/>
                <w:szCs w:val="24"/>
              </w:rPr>
            </w:pPr>
          </w:p>
        </w:tc>
        <w:tc>
          <w:tcPr>
            <w:tcW w:w="1890"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755" w:type="dxa"/>
            <w:vAlign w:val="center"/>
          </w:tcPr>
          <w:p>
            <w:pPr>
              <w:snapToGrid w:val="0"/>
              <w:spacing w:line="360" w:lineRule="auto"/>
              <w:jc w:val="left"/>
              <w:rPr>
                <w:rFonts w:hAnsi="宋体" w:cs="宋体"/>
                <w:sz w:val="24"/>
                <w:szCs w:val="24"/>
              </w:rPr>
            </w:pPr>
          </w:p>
        </w:tc>
        <w:tc>
          <w:tcPr>
            <w:tcW w:w="1890"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5"/>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z w:val="24"/>
          <w:szCs w:val="24"/>
        </w:rPr>
      </w:pPr>
      <w:r>
        <w:rPr>
          <w:rFonts w:hint="eastAsia" w:hAnsi="宋体" w:cs="宋体"/>
          <w:bCs/>
          <w:sz w:val="24"/>
          <w:szCs w:val="24"/>
        </w:rPr>
        <w:t>注：</w:t>
      </w:r>
    </w:p>
    <w:p>
      <w:pPr>
        <w:adjustRightInd w:val="0"/>
        <w:snapToGrid w:val="0"/>
        <w:spacing w:line="360" w:lineRule="auto"/>
        <w:ind w:firstLine="451" w:firstLineChars="188"/>
        <w:jc w:val="left"/>
        <w:rPr>
          <w:rFonts w:hAnsi="宋体" w:cs="宋体"/>
          <w:bCs/>
          <w:sz w:val="24"/>
          <w:szCs w:val="24"/>
        </w:rPr>
      </w:pPr>
      <w:r>
        <w:rPr>
          <w:rFonts w:hint="eastAsia" w:hAnsi="宋体" w:cs="宋体"/>
          <w:bCs/>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51" w:firstLineChars="188"/>
        <w:jc w:val="left"/>
        <w:rPr>
          <w:rFonts w:hAnsi="宋体" w:cs="宋体"/>
          <w:bCs/>
          <w:sz w:val="24"/>
          <w:szCs w:val="24"/>
        </w:rPr>
      </w:pPr>
      <w:r>
        <w:rPr>
          <w:rFonts w:hint="eastAsia" w:hAnsi="宋体" w:cs="宋体"/>
          <w:bCs/>
          <w:sz w:val="24"/>
          <w:szCs w:val="24"/>
        </w:rPr>
        <w:t>2、“分项报价明细表”各分项报价合计应当与“投标报价表”报价合计相等。</w:t>
      </w:r>
    </w:p>
    <w:p>
      <w:pPr>
        <w:adjustRightInd w:val="0"/>
        <w:snapToGrid w:val="0"/>
        <w:spacing w:line="360" w:lineRule="auto"/>
        <w:jc w:val="left"/>
        <w:rPr>
          <w:rFonts w:hAnsi="宋体" w:cs="宋体"/>
          <w:bCs/>
          <w:sz w:val="24"/>
          <w:szCs w:val="24"/>
        </w:rPr>
      </w:pPr>
    </w:p>
    <w:p>
      <w:pPr>
        <w:adjustRightInd w:val="0"/>
        <w:snapToGrid w:val="0"/>
        <w:spacing w:line="360" w:lineRule="auto"/>
        <w:jc w:val="left"/>
        <w:rPr>
          <w:rFonts w:hAnsi="宋体" w:cs="宋体"/>
          <w:bCs/>
          <w:sz w:val="24"/>
          <w:szCs w:val="24"/>
        </w:rPr>
      </w:pPr>
    </w:p>
    <w:p>
      <w:pPr>
        <w:adjustRightInd w:val="0"/>
        <w:snapToGrid w:val="0"/>
        <w:spacing w:line="360" w:lineRule="auto"/>
        <w:jc w:val="left"/>
        <w:rPr>
          <w:rFonts w:hAnsi="宋体" w:cs="宋体"/>
          <w:bCs/>
          <w:sz w:val="24"/>
          <w:szCs w:val="24"/>
        </w:rPr>
      </w:pPr>
    </w:p>
    <w:p>
      <w:pPr>
        <w:adjustRightInd w:val="0"/>
        <w:snapToGrid w:val="0"/>
        <w:spacing w:line="360" w:lineRule="auto"/>
        <w:jc w:val="left"/>
        <w:rPr>
          <w:rFonts w:hAnsi="宋体" w:cs="宋体"/>
          <w:bCs/>
          <w:sz w:val="24"/>
          <w:szCs w:val="24"/>
        </w:rPr>
      </w:pPr>
      <w:r>
        <w:rPr>
          <w:rFonts w:hint="eastAsia" w:hAnsi="宋体" w:cs="宋体"/>
          <w:bCs/>
          <w:sz w:val="24"/>
          <w:szCs w:val="24"/>
        </w:rPr>
        <w:t>投标人名称：        （盖章）</w:t>
      </w:r>
    </w:p>
    <w:p>
      <w:pPr>
        <w:adjustRightInd w:val="0"/>
        <w:snapToGrid w:val="0"/>
        <w:spacing w:line="360" w:lineRule="auto"/>
        <w:jc w:val="left"/>
        <w:rPr>
          <w:rFonts w:hAnsi="宋体" w:cs="宋体"/>
          <w:bCs/>
          <w:sz w:val="24"/>
          <w:szCs w:val="24"/>
        </w:rPr>
      </w:pPr>
      <w:r>
        <w:rPr>
          <w:rFonts w:hint="eastAsia" w:hAnsi="宋体" w:cs="宋体"/>
          <w:bCs/>
          <w:sz w:val="24"/>
          <w:szCs w:val="24"/>
        </w:rPr>
        <w:t>法定代表人或授权代表（签字）：</w:t>
      </w:r>
    </w:p>
    <w:p>
      <w:pPr>
        <w:adjustRightInd w:val="0"/>
        <w:snapToGrid w:val="0"/>
        <w:spacing w:line="360" w:lineRule="auto"/>
        <w:jc w:val="left"/>
        <w:rPr>
          <w:rFonts w:hAnsi="宋体" w:cs="宋体"/>
          <w:bCs/>
          <w:sz w:val="24"/>
          <w:szCs w:val="24"/>
        </w:rPr>
      </w:pPr>
      <w:r>
        <w:rPr>
          <w:rFonts w:hint="eastAsia" w:hAnsi="宋体" w:cs="宋体"/>
          <w:bCs/>
          <w:sz w:val="24"/>
          <w:szCs w:val="24"/>
        </w:rPr>
        <w:t>投标日期：</w:t>
      </w:r>
    </w:p>
    <w:p>
      <w:pPr>
        <w:adjustRightInd w:val="0"/>
        <w:snapToGrid w:val="0"/>
        <w:spacing w:line="360" w:lineRule="auto"/>
        <w:jc w:val="left"/>
        <w:rPr>
          <w:rFonts w:hAnsi="宋体" w:cs="宋体"/>
          <w:bCs/>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4"/>
        <w:snapToGrid w:val="0"/>
        <w:spacing w:before="0" w:after="0" w:line="360" w:lineRule="auto"/>
        <w:jc w:val="center"/>
        <w:rPr>
          <w:rFonts w:ascii="宋体" w:hAnsi="宋体" w:eastAsia="宋体" w:cs="宋体"/>
        </w:rPr>
      </w:pPr>
      <w:bookmarkStart w:id="96" w:name="_Toc217446087"/>
    </w:p>
    <w:p>
      <w:pPr>
        <w:pStyle w:val="4"/>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3"/>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z w:val="24"/>
          <w:szCs w:val="24"/>
        </w:rPr>
      </w:pPr>
      <w:r>
        <w:rPr>
          <w:rFonts w:hint="eastAsia" w:hAnsi="宋体" w:cs="宋体"/>
          <w:bCs/>
          <w:sz w:val="24"/>
          <w:szCs w:val="24"/>
        </w:rPr>
        <w:t>注：</w:t>
      </w:r>
    </w:p>
    <w:p>
      <w:pPr>
        <w:adjustRightInd w:val="0"/>
        <w:snapToGrid w:val="0"/>
        <w:spacing w:line="360" w:lineRule="auto"/>
        <w:ind w:firstLine="451" w:firstLineChars="188"/>
        <w:jc w:val="left"/>
        <w:rPr>
          <w:rFonts w:hAnsi="宋体" w:cs="宋体"/>
          <w:bCs/>
          <w:sz w:val="24"/>
          <w:szCs w:val="24"/>
        </w:rPr>
      </w:pPr>
      <w:r>
        <w:rPr>
          <w:rFonts w:hint="eastAsia" w:hAnsi="宋体" w:cs="宋体"/>
          <w:bCs/>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z w:val="24"/>
          <w:szCs w:val="24"/>
        </w:rPr>
      </w:pPr>
      <w:r>
        <w:rPr>
          <w:rFonts w:hint="eastAsia" w:hAnsi="宋体" w:cs="宋体"/>
          <w:bCs/>
          <w:sz w:val="24"/>
          <w:szCs w:val="24"/>
        </w:rPr>
        <w:t>投标人名称：        （盖章）</w:t>
      </w:r>
    </w:p>
    <w:p>
      <w:pPr>
        <w:adjustRightInd w:val="0"/>
        <w:snapToGrid w:val="0"/>
        <w:spacing w:line="360" w:lineRule="auto"/>
        <w:jc w:val="left"/>
        <w:rPr>
          <w:rFonts w:hAnsi="宋体" w:cs="宋体"/>
          <w:bCs/>
          <w:sz w:val="24"/>
          <w:szCs w:val="24"/>
        </w:rPr>
      </w:pPr>
      <w:r>
        <w:rPr>
          <w:rFonts w:hint="eastAsia" w:hAnsi="宋体" w:cs="宋体"/>
          <w:bCs/>
          <w:sz w:val="24"/>
          <w:szCs w:val="24"/>
        </w:rPr>
        <w:t>法定代表人或授权代表（签字）：</w:t>
      </w:r>
    </w:p>
    <w:p>
      <w:pPr>
        <w:adjustRightInd w:val="0"/>
        <w:snapToGrid w:val="0"/>
        <w:spacing w:line="360" w:lineRule="auto"/>
        <w:jc w:val="left"/>
        <w:rPr>
          <w:rFonts w:hAnsi="宋体" w:cs="宋体"/>
          <w:bCs/>
          <w:sz w:val="24"/>
          <w:szCs w:val="24"/>
        </w:rPr>
      </w:pPr>
      <w:r>
        <w:rPr>
          <w:rFonts w:hint="eastAsia" w:hAnsi="宋体" w:cs="宋体"/>
          <w:bCs/>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z w:val="24"/>
          <w:szCs w:val="24"/>
        </w:rPr>
      </w:pPr>
      <w:r>
        <w:rPr>
          <w:rFonts w:hint="eastAsia" w:hAnsi="宋体" w:cs="宋体"/>
          <w:bCs/>
          <w:sz w:val="24"/>
          <w:szCs w:val="24"/>
        </w:rPr>
        <w:t>注：</w:t>
      </w:r>
    </w:p>
    <w:p>
      <w:pPr>
        <w:adjustRightInd w:val="0"/>
        <w:snapToGrid w:val="0"/>
        <w:spacing w:line="360" w:lineRule="auto"/>
        <w:ind w:firstLine="451" w:firstLineChars="188"/>
        <w:jc w:val="left"/>
        <w:rPr>
          <w:rFonts w:hAnsi="宋体" w:cs="宋体"/>
          <w:bCs/>
          <w:sz w:val="24"/>
          <w:szCs w:val="24"/>
        </w:rPr>
      </w:pPr>
      <w:r>
        <w:rPr>
          <w:rFonts w:hint="eastAsia" w:hAnsi="宋体" w:cs="宋体"/>
          <w:bCs/>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z w:val="24"/>
          <w:szCs w:val="24"/>
        </w:rPr>
      </w:pPr>
    </w:p>
    <w:p>
      <w:pPr>
        <w:adjustRightInd w:val="0"/>
        <w:snapToGrid w:val="0"/>
        <w:spacing w:line="360" w:lineRule="auto"/>
        <w:jc w:val="left"/>
        <w:rPr>
          <w:rFonts w:hAnsi="宋体" w:cs="宋体"/>
          <w:bCs/>
          <w:sz w:val="24"/>
          <w:szCs w:val="24"/>
        </w:rPr>
      </w:pPr>
      <w:r>
        <w:rPr>
          <w:rFonts w:hint="eastAsia" w:hAnsi="宋体" w:cs="宋体"/>
          <w:bCs/>
          <w:sz w:val="24"/>
          <w:szCs w:val="24"/>
        </w:rPr>
        <w:t>投标人名称：         （盖章）</w:t>
      </w:r>
    </w:p>
    <w:p>
      <w:pPr>
        <w:adjustRightInd w:val="0"/>
        <w:snapToGrid w:val="0"/>
        <w:spacing w:line="360" w:lineRule="auto"/>
        <w:jc w:val="left"/>
        <w:rPr>
          <w:rFonts w:hAnsi="宋体" w:cs="宋体"/>
          <w:bCs/>
          <w:sz w:val="24"/>
          <w:szCs w:val="24"/>
        </w:rPr>
      </w:pPr>
      <w:r>
        <w:rPr>
          <w:rFonts w:hint="eastAsia" w:hAnsi="宋体" w:cs="宋体"/>
          <w:bCs/>
          <w:sz w:val="24"/>
          <w:szCs w:val="24"/>
        </w:rPr>
        <w:t>法定代表人或授权代表（签字）：</w:t>
      </w:r>
    </w:p>
    <w:p>
      <w:pPr>
        <w:adjustRightInd w:val="0"/>
        <w:snapToGrid w:val="0"/>
        <w:spacing w:line="360" w:lineRule="auto"/>
        <w:jc w:val="left"/>
        <w:rPr>
          <w:rFonts w:hAnsi="宋体" w:cs="宋体"/>
          <w:bCs/>
          <w:sz w:val="24"/>
          <w:szCs w:val="24"/>
        </w:rPr>
      </w:pPr>
      <w:r>
        <w:rPr>
          <w:rFonts w:hint="eastAsia" w:hAnsi="宋体" w:cs="宋体"/>
          <w:bCs/>
          <w:sz w:val="24"/>
          <w:szCs w:val="24"/>
        </w:rPr>
        <w:t>投标日期:</w:t>
      </w:r>
    </w:p>
    <w:p>
      <w:pPr>
        <w:rPr>
          <w:rFonts w:hAnsi="宋体" w:cs="宋体"/>
        </w:rPr>
      </w:pPr>
      <w:r>
        <w:rPr>
          <w:rFonts w:hint="eastAsia" w:hAnsi="宋体" w:cs="宋体"/>
        </w:rPr>
        <w:br w:type="page"/>
      </w:r>
    </w:p>
    <w:p>
      <w:pPr>
        <w:widowControl/>
        <w:jc w:val="center"/>
        <w:rPr>
          <w:rFonts w:hAnsi="宋体" w:cs="宋体"/>
          <w:b/>
          <w:sz w:val="32"/>
          <w:szCs w:val="32"/>
        </w:rPr>
      </w:pPr>
      <w:r>
        <w:rPr>
          <w:rFonts w:hint="eastAsia" w:hAnsi="宋体" w:cs="宋体"/>
          <w:b/>
          <w:sz w:val="32"/>
          <w:szCs w:val="32"/>
        </w:rPr>
        <w:t>七、投标人认为有必要补充说明的相关信息</w:t>
      </w:r>
    </w:p>
    <w:p>
      <w:pPr>
        <w:adjustRightInd w:val="0"/>
        <w:snapToGrid w:val="0"/>
        <w:spacing w:line="360" w:lineRule="auto"/>
        <w:jc w:val="center"/>
        <w:rPr>
          <w:rFonts w:hAnsi="宋体" w:cs="宋体"/>
          <w:b/>
          <w:sz w:val="32"/>
          <w:szCs w:val="32"/>
        </w:rPr>
        <w:sectPr>
          <w:pgSz w:w="11906" w:h="16838"/>
          <w:pgMar w:top="1083" w:right="1440" w:bottom="1083" w:left="1440" w:header="851" w:footer="992" w:gutter="0"/>
          <w:cols w:space="720" w:num="1"/>
          <w:docGrid w:type="lines" w:linePitch="473" w:charSpace="0"/>
        </w:sectPr>
      </w:pPr>
    </w:p>
    <w:p>
      <w:pPr>
        <w:pStyle w:val="3"/>
        <w:snapToGrid w:val="0"/>
        <w:spacing w:before="0" w:after="0" w:line="360" w:lineRule="auto"/>
        <w:jc w:val="center"/>
        <w:rPr>
          <w:rFonts w:hAnsi="宋体"/>
          <w:sz w:val="32"/>
          <w:szCs w:val="32"/>
        </w:rPr>
      </w:pPr>
      <w:bookmarkStart w:id="97" w:name="_Hlk42504294"/>
      <w:r>
        <w:rPr>
          <w:rFonts w:hint="eastAsia" w:hAnsi="宋体"/>
          <w:sz w:val="32"/>
          <w:szCs w:val="32"/>
        </w:rPr>
        <w:t>第四章  招标项目技术、商务及其他要求</w:t>
      </w:r>
    </w:p>
    <w:p>
      <w:pPr>
        <w:pStyle w:val="3"/>
        <w:snapToGrid w:val="0"/>
        <w:spacing w:before="0" w:after="0" w:line="440" w:lineRule="exact"/>
        <w:rPr>
          <w:rFonts w:hAnsi="宋体" w:cs="宋体"/>
          <w:sz w:val="24"/>
          <w:szCs w:val="24"/>
        </w:rPr>
      </w:pPr>
      <w:r>
        <w:rPr>
          <w:rFonts w:hint="eastAsia" w:hAnsi="宋体" w:cs="宋体"/>
          <w:sz w:val="24"/>
          <w:szCs w:val="24"/>
        </w:rPr>
        <w:t>一、项目内容</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学院内建（构）筑物维修，主要包括室内外瓷砖修补（墙地砖）；室内墙面粉刷；室内吊顶、矿棉板的更换、室外露天铁质设施设备除锈刷漆、室内外玻璃更换、水沟盖更换、栏杆修复、防火门除锈上漆、卫生间更换便盆、安装不锈钢防护栏、地面或墙面防水处理、校园休闲椅维修及上漆、铝合金防盗纱窗、塑钢纱窗、垃圾桶除锈上漆、公寓塑钢门板更换、公寓钢质门更换等零星维修。</w:t>
      </w:r>
    </w:p>
    <w:p>
      <w:pPr>
        <w:pStyle w:val="2"/>
        <w:spacing w:after="0"/>
        <w:rPr>
          <w:rFonts w:ascii="宋体" w:hAnsi="宋体" w:cs="宋体"/>
          <w:b/>
          <w:kern w:val="44"/>
          <w:sz w:val="24"/>
          <w:szCs w:val="24"/>
        </w:rPr>
      </w:pPr>
      <w:r>
        <w:rPr>
          <w:rFonts w:hint="eastAsia" w:ascii="宋体" w:hAnsi="宋体" w:cs="宋体"/>
          <w:b/>
          <w:kern w:val="44"/>
          <w:sz w:val="24"/>
          <w:szCs w:val="24"/>
        </w:rPr>
        <w:t>二、零星工程维修项目清单</w:t>
      </w:r>
    </w:p>
    <w:tbl>
      <w:tblPr>
        <w:tblStyle w:val="19"/>
        <w:tblW w:w="0" w:type="auto"/>
        <w:tblInd w:w="0" w:type="dxa"/>
        <w:tblLayout w:type="fixed"/>
        <w:tblCellMar>
          <w:top w:w="0" w:type="dxa"/>
          <w:left w:w="108" w:type="dxa"/>
          <w:bottom w:w="0" w:type="dxa"/>
          <w:right w:w="108" w:type="dxa"/>
        </w:tblCellMar>
      </w:tblPr>
      <w:tblGrid>
        <w:gridCol w:w="924"/>
        <w:gridCol w:w="1931"/>
        <w:gridCol w:w="2522"/>
        <w:gridCol w:w="1697"/>
        <w:gridCol w:w="974"/>
        <w:gridCol w:w="954"/>
      </w:tblGrid>
      <w:tr>
        <w:tblPrEx>
          <w:tblCellMar>
            <w:top w:w="0" w:type="dxa"/>
            <w:left w:w="108" w:type="dxa"/>
            <w:bottom w:w="0" w:type="dxa"/>
            <w:right w:w="108" w:type="dxa"/>
          </w:tblCellMar>
        </w:tblPrEx>
        <w:trPr>
          <w:trHeight w:val="284" w:hRule="atLeast"/>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序号</w:t>
            </w:r>
          </w:p>
        </w:tc>
        <w:tc>
          <w:tcPr>
            <w:tcW w:w="4453" w:type="dxa"/>
            <w:gridSpan w:val="2"/>
            <w:tcBorders>
              <w:top w:val="single" w:color="auto" w:sz="4" w:space="0"/>
              <w:left w:val="nil"/>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维修项目</w:t>
            </w:r>
          </w:p>
        </w:tc>
        <w:tc>
          <w:tcPr>
            <w:tcW w:w="1697" w:type="dxa"/>
            <w:tcBorders>
              <w:top w:val="single" w:color="auto" w:sz="4" w:space="0"/>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规格</w:t>
            </w:r>
          </w:p>
        </w:tc>
        <w:tc>
          <w:tcPr>
            <w:tcW w:w="974" w:type="dxa"/>
            <w:tcBorders>
              <w:top w:val="single" w:color="auto" w:sz="4" w:space="0"/>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单位</w:t>
            </w:r>
          </w:p>
        </w:tc>
        <w:tc>
          <w:tcPr>
            <w:tcW w:w="952" w:type="dxa"/>
            <w:tcBorders>
              <w:top w:val="single" w:color="auto" w:sz="4" w:space="0"/>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单价</w:t>
            </w: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1</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修补室内过道墙砖</w:t>
            </w:r>
          </w:p>
        </w:tc>
        <w:tc>
          <w:tcPr>
            <w:tcW w:w="1697" w:type="dxa"/>
            <w:tcBorders>
              <w:top w:val="nil"/>
              <w:left w:val="nil"/>
              <w:bottom w:val="single" w:color="auto" w:sz="4" w:space="0"/>
              <w:right w:val="single" w:color="auto" w:sz="4" w:space="0"/>
            </w:tcBorders>
            <w:vAlign w:val="center"/>
          </w:tcPr>
          <w:p>
            <w:pPr>
              <w:widowControl/>
              <w:jc w:val="left"/>
              <w:rPr>
                <w:rFonts w:hAnsi="宋体" w:cs="宋体"/>
                <w:sz w:val="21"/>
                <w:szCs w:val="21"/>
              </w:rPr>
            </w:pPr>
            <w:r>
              <w:rPr>
                <w:rFonts w:hint="eastAsia" w:hAnsi="宋体" w:cs="宋体"/>
                <w:sz w:val="21"/>
                <w:szCs w:val="21"/>
              </w:rPr>
              <w:t>330*250MM</w:t>
            </w:r>
          </w:p>
        </w:tc>
        <w:tc>
          <w:tcPr>
            <w:tcW w:w="974" w:type="dxa"/>
            <w:tcBorders>
              <w:top w:val="nil"/>
              <w:left w:val="nil"/>
              <w:bottom w:val="single" w:color="auto" w:sz="4" w:space="0"/>
              <w:right w:val="single" w:color="auto" w:sz="4" w:space="0"/>
            </w:tcBorders>
            <w:vAlign w:val="center"/>
          </w:tcPr>
          <w:p>
            <w:pPr>
              <w:widowControl/>
              <w:jc w:val="left"/>
              <w:rPr>
                <w:rFonts w:hAnsi="宋体" w:cs="宋体"/>
                <w:sz w:val="22"/>
                <w:szCs w:val="22"/>
              </w:rPr>
            </w:pPr>
            <w:r>
              <w:rPr>
                <w:rFonts w:hint="eastAsia" w:hAnsi="宋体" w:cs="宋体"/>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　</w:t>
            </w: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2</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修补室内卫生间墙砖</w:t>
            </w:r>
          </w:p>
        </w:tc>
        <w:tc>
          <w:tcPr>
            <w:tcW w:w="1697" w:type="dxa"/>
            <w:tcBorders>
              <w:top w:val="nil"/>
              <w:left w:val="nil"/>
              <w:bottom w:val="single" w:color="auto" w:sz="4" w:space="0"/>
              <w:right w:val="single" w:color="auto" w:sz="4" w:space="0"/>
            </w:tcBorders>
            <w:vAlign w:val="center"/>
          </w:tcPr>
          <w:p>
            <w:pPr>
              <w:widowControl/>
              <w:jc w:val="left"/>
              <w:rPr>
                <w:rFonts w:hAnsi="宋体" w:cs="宋体"/>
                <w:sz w:val="21"/>
                <w:szCs w:val="21"/>
              </w:rPr>
            </w:pPr>
            <w:r>
              <w:rPr>
                <w:rFonts w:hint="eastAsia" w:hAnsi="宋体" w:cs="宋体"/>
                <w:sz w:val="21"/>
                <w:szCs w:val="21"/>
              </w:rPr>
              <w:t>330*250MM</w:t>
            </w:r>
          </w:p>
        </w:tc>
        <w:tc>
          <w:tcPr>
            <w:tcW w:w="974" w:type="dxa"/>
            <w:tcBorders>
              <w:top w:val="nil"/>
              <w:left w:val="nil"/>
              <w:bottom w:val="single" w:color="auto" w:sz="4" w:space="0"/>
              <w:right w:val="single" w:color="auto" w:sz="4" w:space="0"/>
            </w:tcBorders>
            <w:vAlign w:val="center"/>
          </w:tcPr>
          <w:p>
            <w:pPr>
              <w:widowControl/>
              <w:jc w:val="left"/>
              <w:rPr>
                <w:rFonts w:hAnsi="宋体" w:cs="宋体"/>
                <w:sz w:val="22"/>
                <w:szCs w:val="22"/>
              </w:rPr>
            </w:pPr>
            <w:r>
              <w:rPr>
                <w:rFonts w:hint="eastAsia" w:hAnsi="宋体" w:cs="宋体"/>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　</w:t>
            </w: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3</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修补室内卫生间地砖</w:t>
            </w:r>
          </w:p>
        </w:tc>
        <w:tc>
          <w:tcPr>
            <w:tcW w:w="1697" w:type="dxa"/>
            <w:tcBorders>
              <w:top w:val="nil"/>
              <w:left w:val="nil"/>
              <w:bottom w:val="single" w:color="auto" w:sz="4" w:space="0"/>
              <w:right w:val="single" w:color="auto" w:sz="4" w:space="0"/>
            </w:tcBorders>
            <w:vAlign w:val="center"/>
          </w:tcPr>
          <w:p>
            <w:pPr>
              <w:widowControl/>
              <w:jc w:val="left"/>
              <w:rPr>
                <w:rFonts w:hAnsi="宋体" w:cs="宋体"/>
                <w:sz w:val="21"/>
                <w:szCs w:val="21"/>
              </w:rPr>
            </w:pPr>
            <w:r>
              <w:rPr>
                <w:rFonts w:hint="eastAsia" w:hAnsi="宋体" w:cs="宋体"/>
                <w:sz w:val="21"/>
                <w:szCs w:val="21"/>
              </w:rPr>
              <w:t>300*300MM</w:t>
            </w:r>
          </w:p>
        </w:tc>
        <w:tc>
          <w:tcPr>
            <w:tcW w:w="974" w:type="dxa"/>
            <w:tcBorders>
              <w:top w:val="nil"/>
              <w:left w:val="nil"/>
              <w:bottom w:val="single" w:color="auto" w:sz="4" w:space="0"/>
              <w:right w:val="single" w:color="auto" w:sz="4" w:space="0"/>
            </w:tcBorders>
            <w:vAlign w:val="center"/>
          </w:tcPr>
          <w:p>
            <w:pPr>
              <w:widowControl/>
              <w:jc w:val="left"/>
              <w:rPr>
                <w:rFonts w:hAnsi="宋体" w:cs="宋体"/>
                <w:sz w:val="22"/>
                <w:szCs w:val="22"/>
              </w:rPr>
            </w:pPr>
            <w:r>
              <w:rPr>
                <w:rFonts w:hint="eastAsia" w:hAnsi="宋体" w:cs="宋体"/>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　</w:t>
            </w: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4</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修补室内踢脚线</w:t>
            </w:r>
          </w:p>
        </w:tc>
        <w:tc>
          <w:tcPr>
            <w:tcW w:w="1697" w:type="dxa"/>
            <w:tcBorders>
              <w:top w:val="nil"/>
              <w:left w:val="nil"/>
              <w:bottom w:val="single" w:color="auto" w:sz="4" w:space="0"/>
              <w:right w:val="single" w:color="auto" w:sz="4" w:space="0"/>
            </w:tcBorders>
            <w:vAlign w:val="center"/>
          </w:tcPr>
          <w:p>
            <w:pPr>
              <w:widowControl/>
              <w:jc w:val="left"/>
              <w:rPr>
                <w:rFonts w:hAnsi="宋体" w:cs="宋体"/>
                <w:sz w:val="21"/>
                <w:szCs w:val="21"/>
              </w:rPr>
            </w:pPr>
            <w:r>
              <w:rPr>
                <w:rFonts w:hint="eastAsia" w:hAnsi="宋体" w:cs="宋体"/>
                <w:sz w:val="21"/>
                <w:szCs w:val="21"/>
              </w:rPr>
              <w:t>120*600MM</w:t>
            </w:r>
          </w:p>
        </w:tc>
        <w:tc>
          <w:tcPr>
            <w:tcW w:w="974" w:type="dxa"/>
            <w:tcBorders>
              <w:top w:val="nil"/>
              <w:left w:val="nil"/>
              <w:bottom w:val="single" w:color="auto" w:sz="4" w:space="0"/>
              <w:right w:val="single" w:color="auto" w:sz="4" w:space="0"/>
            </w:tcBorders>
            <w:vAlign w:val="center"/>
          </w:tcPr>
          <w:p>
            <w:pPr>
              <w:widowControl/>
              <w:jc w:val="left"/>
              <w:rPr>
                <w:rFonts w:hAnsi="宋体" w:cs="宋体"/>
                <w:sz w:val="22"/>
                <w:szCs w:val="22"/>
              </w:rPr>
            </w:pPr>
            <w:r>
              <w:rPr>
                <w:rFonts w:hint="eastAsia" w:hAnsi="宋体" w:cs="宋体"/>
                <w:sz w:val="22"/>
                <w:szCs w:val="22"/>
              </w:rPr>
              <w:t>米</w:t>
            </w:r>
          </w:p>
        </w:tc>
        <w:tc>
          <w:tcPr>
            <w:tcW w:w="952" w:type="dxa"/>
            <w:tcBorders>
              <w:top w:val="nil"/>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　</w:t>
            </w: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5</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修补室外广场地砖</w:t>
            </w:r>
          </w:p>
        </w:tc>
        <w:tc>
          <w:tcPr>
            <w:tcW w:w="1697" w:type="dxa"/>
            <w:tcBorders>
              <w:top w:val="nil"/>
              <w:left w:val="nil"/>
              <w:bottom w:val="single" w:color="auto" w:sz="4" w:space="0"/>
              <w:right w:val="single" w:color="auto" w:sz="4" w:space="0"/>
            </w:tcBorders>
            <w:vAlign w:val="center"/>
          </w:tcPr>
          <w:p>
            <w:pPr>
              <w:widowControl/>
              <w:jc w:val="left"/>
              <w:rPr>
                <w:rFonts w:hAnsi="宋体" w:cs="宋体"/>
                <w:sz w:val="21"/>
                <w:szCs w:val="21"/>
              </w:rPr>
            </w:pPr>
            <w:r>
              <w:rPr>
                <w:rFonts w:hint="eastAsia" w:hAnsi="宋体" w:cs="宋体"/>
                <w:sz w:val="21"/>
                <w:szCs w:val="21"/>
              </w:rPr>
              <w:t>100*100MM</w:t>
            </w:r>
          </w:p>
        </w:tc>
        <w:tc>
          <w:tcPr>
            <w:tcW w:w="974" w:type="dxa"/>
            <w:tcBorders>
              <w:top w:val="nil"/>
              <w:left w:val="nil"/>
              <w:bottom w:val="single" w:color="auto" w:sz="4" w:space="0"/>
              <w:right w:val="single" w:color="auto" w:sz="4" w:space="0"/>
            </w:tcBorders>
            <w:vAlign w:val="center"/>
          </w:tcPr>
          <w:p>
            <w:pPr>
              <w:widowControl/>
              <w:jc w:val="left"/>
              <w:rPr>
                <w:rFonts w:hAnsi="宋体" w:cs="宋体"/>
                <w:sz w:val="22"/>
                <w:szCs w:val="22"/>
              </w:rPr>
            </w:pPr>
            <w:r>
              <w:rPr>
                <w:rFonts w:hint="eastAsia" w:hAnsi="宋体" w:cs="宋体"/>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　</w:t>
            </w: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6</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修补室外墙脚砖</w:t>
            </w:r>
          </w:p>
        </w:tc>
        <w:tc>
          <w:tcPr>
            <w:tcW w:w="1697" w:type="dxa"/>
            <w:tcBorders>
              <w:top w:val="nil"/>
              <w:left w:val="nil"/>
              <w:bottom w:val="single" w:color="auto" w:sz="4" w:space="0"/>
              <w:right w:val="single" w:color="auto" w:sz="4" w:space="0"/>
            </w:tcBorders>
            <w:vAlign w:val="center"/>
          </w:tcPr>
          <w:p>
            <w:pPr>
              <w:widowControl/>
              <w:jc w:val="left"/>
              <w:rPr>
                <w:rFonts w:hAnsi="宋体" w:cs="宋体"/>
                <w:sz w:val="21"/>
                <w:szCs w:val="21"/>
              </w:rPr>
            </w:pPr>
            <w:r>
              <w:rPr>
                <w:rFonts w:hint="eastAsia" w:hAnsi="宋体" w:cs="宋体"/>
                <w:sz w:val="21"/>
                <w:szCs w:val="21"/>
              </w:rPr>
              <w:t>60*240</w:t>
            </w:r>
          </w:p>
        </w:tc>
        <w:tc>
          <w:tcPr>
            <w:tcW w:w="974" w:type="dxa"/>
            <w:tcBorders>
              <w:top w:val="nil"/>
              <w:left w:val="nil"/>
              <w:bottom w:val="single" w:color="auto" w:sz="4" w:space="0"/>
              <w:right w:val="single" w:color="auto" w:sz="4" w:space="0"/>
            </w:tcBorders>
            <w:vAlign w:val="center"/>
          </w:tcPr>
          <w:p>
            <w:pPr>
              <w:widowControl/>
              <w:jc w:val="left"/>
              <w:rPr>
                <w:rFonts w:hAnsi="宋体" w:cs="宋体"/>
                <w:sz w:val="22"/>
                <w:szCs w:val="22"/>
              </w:rPr>
            </w:pPr>
            <w:r>
              <w:rPr>
                <w:rFonts w:hint="eastAsia" w:hAnsi="宋体" w:cs="宋体"/>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　</w:t>
            </w: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7</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卫生间吊顶修补更换</w:t>
            </w:r>
          </w:p>
        </w:tc>
        <w:tc>
          <w:tcPr>
            <w:tcW w:w="1697" w:type="dxa"/>
            <w:tcBorders>
              <w:top w:val="nil"/>
              <w:left w:val="nil"/>
              <w:bottom w:val="single" w:color="auto" w:sz="4" w:space="0"/>
              <w:right w:val="single" w:color="auto" w:sz="4" w:space="0"/>
            </w:tcBorders>
            <w:vAlign w:val="center"/>
          </w:tcPr>
          <w:p>
            <w:pPr>
              <w:widowControl/>
              <w:jc w:val="left"/>
              <w:rPr>
                <w:rFonts w:hAnsi="宋体" w:cs="宋体"/>
                <w:sz w:val="21"/>
                <w:szCs w:val="21"/>
              </w:rPr>
            </w:pPr>
            <w:r>
              <w:rPr>
                <w:rFonts w:hint="eastAsia" w:hAnsi="宋体" w:cs="宋体"/>
                <w:sz w:val="21"/>
                <w:szCs w:val="21"/>
              </w:rPr>
              <w:t>300*300</w:t>
            </w:r>
          </w:p>
        </w:tc>
        <w:tc>
          <w:tcPr>
            <w:tcW w:w="974" w:type="dxa"/>
            <w:tcBorders>
              <w:top w:val="nil"/>
              <w:left w:val="nil"/>
              <w:bottom w:val="single" w:color="auto" w:sz="4" w:space="0"/>
              <w:right w:val="single" w:color="auto" w:sz="4" w:space="0"/>
            </w:tcBorders>
            <w:vAlign w:val="center"/>
          </w:tcPr>
          <w:p>
            <w:pPr>
              <w:widowControl/>
              <w:jc w:val="left"/>
              <w:rPr>
                <w:rFonts w:hAnsi="宋体" w:cs="宋体"/>
                <w:sz w:val="22"/>
                <w:szCs w:val="22"/>
              </w:rPr>
            </w:pPr>
            <w:r>
              <w:rPr>
                <w:rFonts w:hint="eastAsia" w:hAnsi="宋体" w:cs="宋体"/>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　</w:t>
            </w: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8</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过道和办公室等矿棉板更换</w:t>
            </w:r>
          </w:p>
        </w:tc>
        <w:tc>
          <w:tcPr>
            <w:tcW w:w="1697" w:type="dxa"/>
            <w:tcBorders>
              <w:top w:val="nil"/>
              <w:left w:val="nil"/>
              <w:bottom w:val="single" w:color="auto" w:sz="4" w:space="0"/>
              <w:right w:val="single" w:color="auto" w:sz="4" w:space="0"/>
            </w:tcBorders>
            <w:vAlign w:val="center"/>
          </w:tcPr>
          <w:p>
            <w:pPr>
              <w:widowControl/>
              <w:jc w:val="left"/>
              <w:rPr>
                <w:rFonts w:hAnsi="宋体" w:cs="宋体"/>
                <w:sz w:val="21"/>
                <w:szCs w:val="21"/>
              </w:rPr>
            </w:pPr>
            <w:r>
              <w:rPr>
                <w:rFonts w:hint="eastAsia" w:hAnsi="宋体" w:cs="宋体"/>
                <w:sz w:val="21"/>
                <w:szCs w:val="21"/>
              </w:rPr>
              <w:t>600*600</w:t>
            </w:r>
          </w:p>
        </w:tc>
        <w:tc>
          <w:tcPr>
            <w:tcW w:w="974" w:type="dxa"/>
            <w:tcBorders>
              <w:top w:val="nil"/>
              <w:left w:val="nil"/>
              <w:bottom w:val="single" w:color="auto" w:sz="4" w:space="0"/>
              <w:right w:val="single" w:color="auto" w:sz="4" w:space="0"/>
            </w:tcBorders>
            <w:vAlign w:val="center"/>
          </w:tcPr>
          <w:p>
            <w:pPr>
              <w:widowControl/>
              <w:jc w:val="left"/>
              <w:rPr>
                <w:rFonts w:hAnsi="宋体" w:cs="宋体"/>
                <w:sz w:val="22"/>
                <w:szCs w:val="22"/>
              </w:rPr>
            </w:pPr>
            <w:r>
              <w:rPr>
                <w:rFonts w:hint="eastAsia" w:hAnsi="宋体" w:cs="宋体"/>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　</w:t>
            </w: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9</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室外露天铁质设备刷漆除锈</w:t>
            </w:r>
          </w:p>
        </w:tc>
        <w:tc>
          <w:tcPr>
            <w:tcW w:w="1697" w:type="dxa"/>
            <w:tcBorders>
              <w:top w:val="nil"/>
              <w:left w:val="nil"/>
              <w:bottom w:val="single" w:color="auto" w:sz="4" w:space="0"/>
              <w:right w:val="single" w:color="auto" w:sz="4" w:space="0"/>
            </w:tcBorders>
            <w:vAlign w:val="center"/>
          </w:tcPr>
          <w:p>
            <w:pPr>
              <w:widowControl/>
              <w:jc w:val="left"/>
              <w:rPr>
                <w:rFonts w:hAnsi="宋体" w:cs="宋体"/>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sz w:val="22"/>
                <w:szCs w:val="22"/>
              </w:rPr>
            </w:pPr>
            <w:r>
              <w:rPr>
                <w:rFonts w:hint="eastAsia" w:hAnsi="宋体" w:cs="宋体"/>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10</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楼梯护栏及扶手修复及上漆</w:t>
            </w:r>
          </w:p>
        </w:tc>
        <w:tc>
          <w:tcPr>
            <w:tcW w:w="1697" w:type="dxa"/>
            <w:tcBorders>
              <w:top w:val="nil"/>
              <w:left w:val="nil"/>
              <w:bottom w:val="single" w:color="auto" w:sz="4" w:space="0"/>
              <w:right w:val="single" w:color="auto" w:sz="4" w:space="0"/>
            </w:tcBorders>
            <w:vAlign w:val="center"/>
          </w:tcPr>
          <w:p>
            <w:pPr>
              <w:widowControl/>
              <w:jc w:val="left"/>
              <w:rPr>
                <w:rFonts w:hAnsi="宋体" w:cs="宋体"/>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sz w:val="22"/>
                <w:szCs w:val="22"/>
              </w:rPr>
            </w:pPr>
            <w:r>
              <w:rPr>
                <w:rFonts w:hint="eastAsia" w:hAnsi="宋体" w:cs="宋体"/>
                <w:sz w:val="22"/>
                <w:szCs w:val="22"/>
              </w:rPr>
              <w:t>米</w:t>
            </w:r>
          </w:p>
        </w:tc>
        <w:tc>
          <w:tcPr>
            <w:tcW w:w="952" w:type="dxa"/>
            <w:tcBorders>
              <w:top w:val="nil"/>
              <w:left w:val="nil"/>
              <w:bottom w:val="single" w:color="auto" w:sz="4" w:space="0"/>
              <w:right w:val="single" w:color="auto" w:sz="4" w:space="0"/>
            </w:tcBorders>
            <w:vAlign w:val="center"/>
          </w:tcPr>
          <w:p>
            <w:pPr>
              <w:widowControl/>
              <w:jc w:val="left"/>
              <w:rPr>
                <w:rFonts w:hAnsi="宋体" w:cs="宋体"/>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11</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防护栏修复除锈上漆</w:t>
            </w:r>
          </w:p>
        </w:tc>
        <w:tc>
          <w:tcPr>
            <w:tcW w:w="1697" w:type="dxa"/>
            <w:tcBorders>
              <w:top w:val="nil"/>
              <w:left w:val="nil"/>
              <w:bottom w:val="single" w:color="auto" w:sz="4" w:space="0"/>
              <w:right w:val="single" w:color="auto" w:sz="4" w:space="0"/>
            </w:tcBorders>
            <w:vAlign w:val="center"/>
          </w:tcPr>
          <w:p>
            <w:pPr>
              <w:widowControl/>
              <w:jc w:val="left"/>
              <w:rPr>
                <w:rFonts w:hAnsi="宋体" w:cs="宋体"/>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sz w:val="22"/>
                <w:szCs w:val="22"/>
              </w:rPr>
            </w:pPr>
            <w:r>
              <w:rPr>
                <w:rFonts w:hint="eastAsia" w:hAnsi="宋体" w:cs="宋体"/>
                <w:sz w:val="22"/>
                <w:szCs w:val="22"/>
              </w:rPr>
              <w:t>平米</w:t>
            </w:r>
          </w:p>
        </w:tc>
        <w:tc>
          <w:tcPr>
            <w:tcW w:w="952" w:type="dxa"/>
            <w:tcBorders>
              <w:top w:val="nil"/>
              <w:left w:val="nil"/>
              <w:bottom w:val="single" w:color="auto" w:sz="4" w:space="0"/>
              <w:right w:val="single" w:color="auto" w:sz="4" w:space="0"/>
            </w:tcBorders>
            <w:vAlign w:val="center"/>
          </w:tcPr>
          <w:p>
            <w:pPr>
              <w:widowControl/>
              <w:jc w:val="left"/>
              <w:rPr>
                <w:rFonts w:hAnsi="宋体" w:cs="宋体"/>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sz w:val="24"/>
                <w:szCs w:val="24"/>
              </w:rPr>
            </w:pPr>
            <w:r>
              <w:rPr>
                <w:rFonts w:hint="eastAsia" w:hAnsi="宋体" w:cs="宋体"/>
                <w:color w:val="000000"/>
                <w:sz w:val="24"/>
                <w:szCs w:val="24"/>
              </w:rPr>
              <w:t>12</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color w:val="000000"/>
                <w:sz w:val="24"/>
                <w:szCs w:val="24"/>
              </w:rPr>
            </w:pPr>
            <w:r>
              <w:rPr>
                <w:rFonts w:hint="eastAsia" w:hAnsi="宋体" w:cs="宋体"/>
                <w:color w:val="000000"/>
                <w:sz w:val="24"/>
                <w:szCs w:val="24"/>
              </w:rPr>
              <w:t>防火门除锈上漆</w:t>
            </w:r>
          </w:p>
        </w:tc>
        <w:tc>
          <w:tcPr>
            <w:tcW w:w="1697" w:type="dxa"/>
            <w:tcBorders>
              <w:top w:val="nil"/>
              <w:left w:val="nil"/>
              <w:bottom w:val="single" w:color="auto" w:sz="4" w:space="0"/>
              <w:right w:val="single" w:color="auto" w:sz="4" w:space="0"/>
            </w:tcBorders>
            <w:vAlign w:val="center"/>
          </w:tcPr>
          <w:p>
            <w:pPr>
              <w:widowControl/>
              <w:jc w:val="left"/>
              <w:rPr>
                <w:rFonts w:hAnsi="宋体" w:cs="宋体"/>
                <w:color w:val="000000"/>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color w:val="000000"/>
                <w:sz w:val="22"/>
                <w:szCs w:val="22"/>
              </w:rPr>
            </w:pPr>
            <w:r>
              <w:rPr>
                <w:rFonts w:hint="eastAsia" w:hAnsi="宋体" w:cs="宋体"/>
                <w:color w:val="000000"/>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449"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sz w:val="24"/>
                <w:szCs w:val="24"/>
              </w:rPr>
            </w:pPr>
            <w:r>
              <w:rPr>
                <w:rFonts w:hint="eastAsia" w:hAnsi="宋体" w:cs="宋体"/>
                <w:color w:val="000000"/>
                <w:sz w:val="24"/>
                <w:szCs w:val="24"/>
              </w:rPr>
              <w:t>13</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color w:val="000000"/>
                <w:sz w:val="24"/>
                <w:szCs w:val="24"/>
              </w:rPr>
            </w:pPr>
            <w:r>
              <w:rPr>
                <w:rFonts w:hint="eastAsia" w:hAnsi="宋体" w:cs="宋体"/>
                <w:color w:val="000000"/>
                <w:sz w:val="24"/>
                <w:szCs w:val="24"/>
              </w:rPr>
              <w:t>窗玻璃更换</w:t>
            </w:r>
          </w:p>
        </w:tc>
        <w:tc>
          <w:tcPr>
            <w:tcW w:w="1697" w:type="dxa"/>
            <w:tcBorders>
              <w:top w:val="nil"/>
              <w:left w:val="nil"/>
              <w:bottom w:val="single" w:color="auto" w:sz="4" w:space="0"/>
              <w:right w:val="single" w:color="auto" w:sz="4" w:space="0"/>
            </w:tcBorders>
            <w:vAlign w:val="center"/>
          </w:tcPr>
          <w:p>
            <w:pPr>
              <w:widowControl/>
              <w:jc w:val="left"/>
              <w:rPr>
                <w:rFonts w:hAnsi="宋体" w:cs="宋体"/>
                <w:color w:val="000000"/>
                <w:sz w:val="21"/>
                <w:szCs w:val="21"/>
              </w:rPr>
            </w:pPr>
            <w:r>
              <w:rPr>
                <w:rFonts w:hint="eastAsia" w:hAnsi="宋体" w:cs="宋体"/>
                <w:color w:val="000000"/>
                <w:sz w:val="21"/>
                <w:szCs w:val="21"/>
              </w:rPr>
              <w:t xml:space="preserve"> 中空普5+6+5(mm)</w:t>
            </w:r>
          </w:p>
        </w:tc>
        <w:tc>
          <w:tcPr>
            <w:tcW w:w="974" w:type="dxa"/>
            <w:tcBorders>
              <w:top w:val="nil"/>
              <w:left w:val="nil"/>
              <w:bottom w:val="single" w:color="auto" w:sz="4" w:space="0"/>
              <w:right w:val="single" w:color="auto" w:sz="4" w:space="0"/>
            </w:tcBorders>
            <w:vAlign w:val="center"/>
          </w:tcPr>
          <w:p>
            <w:pPr>
              <w:widowControl/>
              <w:jc w:val="left"/>
              <w:rPr>
                <w:rFonts w:hAnsi="宋体" w:cs="宋体"/>
                <w:color w:val="000000"/>
                <w:sz w:val="22"/>
                <w:szCs w:val="22"/>
              </w:rPr>
            </w:pPr>
            <w:r>
              <w:rPr>
                <w:rFonts w:hint="eastAsia" w:hAnsi="宋体" w:cs="宋体"/>
                <w:color w:val="000000"/>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sz w:val="24"/>
                <w:szCs w:val="24"/>
              </w:rPr>
            </w:pPr>
            <w:r>
              <w:rPr>
                <w:rFonts w:hint="eastAsia" w:hAnsi="宋体" w:cs="宋体"/>
                <w:color w:val="000000"/>
                <w:sz w:val="24"/>
                <w:szCs w:val="24"/>
              </w:rPr>
              <w:t>14</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color w:val="000000"/>
                <w:sz w:val="24"/>
                <w:szCs w:val="24"/>
              </w:rPr>
            </w:pPr>
            <w:r>
              <w:rPr>
                <w:rFonts w:hint="eastAsia" w:hAnsi="宋体" w:cs="宋体"/>
                <w:color w:val="000000"/>
                <w:sz w:val="24"/>
                <w:szCs w:val="24"/>
              </w:rPr>
              <w:t>卫生间便盆更换</w:t>
            </w:r>
          </w:p>
        </w:tc>
        <w:tc>
          <w:tcPr>
            <w:tcW w:w="1697" w:type="dxa"/>
            <w:tcBorders>
              <w:top w:val="nil"/>
              <w:left w:val="nil"/>
              <w:bottom w:val="single" w:color="auto" w:sz="4" w:space="0"/>
              <w:right w:val="single" w:color="auto" w:sz="4" w:space="0"/>
            </w:tcBorders>
            <w:vAlign w:val="center"/>
          </w:tcPr>
          <w:p>
            <w:pPr>
              <w:widowControl/>
              <w:jc w:val="left"/>
              <w:rPr>
                <w:rFonts w:hAnsi="宋体" w:cs="宋体"/>
                <w:color w:val="000000"/>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color w:val="000000"/>
                <w:sz w:val="22"/>
                <w:szCs w:val="22"/>
              </w:rPr>
            </w:pPr>
            <w:r>
              <w:rPr>
                <w:rFonts w:hint="eastAsia" w:hAnsi="宋体" w:cs="宋体"/>
                <w:color w:val="000000"/>
                <w:sz w:val="22"/>
                <w:szCs w:val="22"/>
              </w:rPr>
              <w:t>个</w:t>
            </w:r>
          </w:p>
        </w:tc>
        <w:tc>
          <w:tcPr>
            <w:tcW w:w="952" w:type="dxa"/>
            <w:tcBorders>
              <w:top w:val="nil"/>
              <w:left w:val="nil"/>
              <w:bottom w:val="single" w:color="auto" w:sz="4" w:space="0"/>
              <w:right w:val="single" w:color="auto" w:sz="4" w:space="0"/>
            </w:tcBorders>
            <w:vAlign w:val="center"/>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sz w:val="24"/>
                <w:szCs w:val="24"/>
              </w:rPr>
            </w:pPr>
            <w:r>
              <w:rPr>
                <w:rFonts w:hint="eastAsia" w:hAnsi="宋体" w:cs="宋体"/>
                <w:color w:val="000000"/>
                <w:sz w:val="24"/>
                <w:szCs w:val="24"/>
              </w:rPr>
              <w:t>15</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color w:val="000000"/>
                <w:sz w:val="24"/>
                <w:szCs w:val="24"/>
              </w:rPr>
            </w:pPr>
            <w:r>
              <w:rPr>
                <w:rFonts w:hint="eastAsia" w:hAnsi="宋体" w:cs="宋体"/>
                <w:color w:val="000000"/>
                <w:sz w:val="24"/>
                <w:szCs w:val="24"/>
              </w:rPr>
              <w:t>卫生间面盆更换</w:t>
            </w:r>
          </w:p>
        </w:tc>
        <w:tc>
          <w:tcPr>
            <w:tcW w:w="1697" w:type="dxa"/>
            <w:tcBorders>
              <w:top w:val="nil"/>
              <w:left w:val="nil"/>
              <w:bottom w:val="single" w:color="auto" w:sz="4" w:space="0"/>
              <w:right w:val="single" w:color="auto" w:sz="4" w:space="0"/>
            </w:tcBorders>
            <w:vAlign w:val="center"/>
          </w:tcPr>
          <w:p>
            <w:pPr>
              <w:widowControl/>
              <w:jc w:val="left"/>
              <w:rPr>
                <w:rFonts w:hAnsi="宋体" w:cs="宋体"/>
                <w:color w:val="000000"/>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color w:val="000000"/>
                <w:sz w:val="22"/>
                <w:szCs w:val="22"/>
              </w:rPr>
            </w:pPr>
            <w:r>
              <w:rPr>
                <w:rFonts w:hint="eastAsia" w:hAnsi="宋体" w:cs="宋体"/>
                <w:color w:val="000000"/>
                <w:sz w:val="22"/>
                <w:szCs w:val="22"/>
              </w:rPr>
              <w:t>个</w:t>
            </w:r>
          </w:p>
        </w:tc>
        <w:tc>
          <w:tcPr>
            <w:tcW w:w="952" w:type="dxa"/>
            <w:tcBorders>
              <w:top w:val="nil"/>
              <w:left w:val="nil"/>
              <w:bottom w:val="single" w:color="auto" w:sz="4" w:space="0"/>
              <w:right w:val="single" w:color="auto" w:sz="4" w:space="0"/>
            </w:tcBorders>
            <w:vAlign w:val="center"/>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sz w:val="24"/>
                <w:szCs w:val="24"/>
              </w:rPr>
            </w:pPr>
            <w:r>
              <w:rPr>
                <w:rFonts w:hint="eastAsia" w:hAnsi="宋体" w:cs="宋体"/>
                <w:color w:val="000000"/>
                <w:sz w:val="24"/>
                <w:szCs w:val="24"/>
              </w:rPr>
              <w:t>16</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color w:val="000000"/>
                <w:sz w:val="24"/>
                <w:szCs w:val="24"/>
              </w:rPr>
            </w:pPr>
            <w:r>
              <w:rPr>
                <w:rFonts w:hint="eastAsia" w:hAnsi="宋体" w:cs="宋体"/>
                <w:color w:val="000000"/>
                <w:sz w:val="24"/>
                <w:szCs w:val="24"/>
              </w:rPr>
              <w:t>地面防水处理</w:t>
            </w:r>
          </w:p>
        </w:tc>
        <w:tc>
          <w:tcPr>
            <w:tcW w:w="1697" w:type="dxa"/>
            <w:tcBorders>
              <w:top w:val="nil"/>
              <w:left w:val="nil"/>
              <w:bottom w:val="single" w:color="auto" w:sz="4" w:space="0"/>
              <w:right w:val="single" w:color="auto" w:sz="4" w:space="0"/>
            </w:tcBorders>
            <w:vAlign w:val="center"/>
          </w:tcPr>
          <w:p>
            <w:pPr>
              <w:widowControl/>
              <w:jc w:val="left"/>
              <w:rPr>
                <w:rFonts w:hAnsi="宋体" w:cs="宋体"/>
                <w:color w:val="000000"/>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color w:val="000000"/>
                <w:sz w:val="22"/>
                <w:szCs w:val="22"/>
              </w:rPr>
            </w:pPr>
            <w:r>
              <w:rPr>
                <w:rFonts w:hint="eastAsia" w:hAnsi="宋体" w:cs="宋体"/>
                <w:color w:val="000000"/>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sz w:val="24"/>
                <w:szCs w:val="24"/>
              </w:rPr>
            </w:pPr>
            <w:r>
              <w:rPr>
                <w:rFonts w:hint="eastAsia" w:hAnsi="宋体" w:cs="宋体"/>
                <w:color w:val="000000"/>
                <w:sz w:val="24"/>
                <w:szCs w:val="24"/>
              </w:rPr>
              <w:t>17</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color w:val="000000"/>
                <w:sz w:val="24"/>
                <w:szCs w:val="24"/>
              </w:rPr>
            </w:pPr>
            <w:r>
              <w:rPr>
                <w:rFonts w:hint="eastAsia" w:hAnsi="宋体" w:cs="宋体"/>
                <w:color w:val="000000"/>
                <w:sz w:val="24"/>
                <w:szCs w:val="24"/>
              </w:rPr>
              <w:t>墙面防水处理</w:t>
            </w:r>
          </w:p>
        </w:tc>
        <w:tc>
          <w:tcPr>
            <w:tcW w:w="1697" w:type="dxa"/>
            <w:tcBorders>
              <w:top w:val="nil"/>
              <w:left w:val="nil"/>
              <w:bottom w:val="single" w:color="auto" w:sz="4" w:space="0"/>
              <w:right w:val="single" w:color="auto" w:sz="4" w:space="0"/>
            </w:tcBorders>
            <w:vAlign w:val="center"/>
          </w:tcPr>
          <w:p>
            <w:pPr>
              <w:widowControl/>
              <w:jc w:val="left"/>
              <w:rPr>
                <w:rFonts w:hAnsi="宋体" w:cs="宋体"/>
                <w:color w:val="000000"/>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color w:val="000000"/>
                <w:sz w:val="22"/>
                <w:szCs w:val="22"/>
              </w:rPr>
            </w:pPr>
            <w:r>
              <w:rPr>
                <w:rFonts w:hint="eastAsia" w:hAnsi="宋体" w:cs="宋体"/>
                <w:color w:val="000000"/>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sz w:val="24"/>
                <w:szCs w:val="24"/>
              </w:rPr>
            </w:pPr>
            <w:r>
              <w:rPr>
                <w:rFonts w:hint="eastAsia" w:hAnsi="宋体" w:cs="宋体"/>
                <w:color w:val="000000"/>
                <w:sz w:val="24"/>
                <w:szCs w:val="24"/>
              </w:rPr>
              <w:t>18</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color w:val="000000"/>
                <w:sz w:val="24"/>
                <w:szCs w:val="24"/>
              </w:rPr>
            </w:pPr>
            <w:r>
              <w:rPr>
                <w:rFonts w:hint="eastAsia" w:hAnsi="宋体" w:cs="宋体"/>
                <w:color w:val="000000"/>
                <w:sz w:val="24"/>
                <w:szCs w:val="24"/>
              </w:rPr>
              <w:t>校园休闲椅维修及上漆</w:t>
            </w:r>
          </w:p>
        </w:tc>
        <w:tc>
          <w:tcPr>
            <w:tcW w:w="1697" w:type="dxa"/>
            <w:tcBorders>
              <w:top w:val="nil"/>
              <w:left w:val="nil"/>
              <w:bottom w:val="single" w:color="auto" w:sz="4" w:space="0"/>
              <w:right w:val="single" w:color="auto" w:sz="4" w:space="0"/>
            </w:tcBorders>
            <w:vAlign w:val="center"/>
          </w:tcPr>
          <w:p>
            <w:pPr>
              <w:widowControl/>
              <w:jc w:val="left"/>
              <w:rPr>
                <w:rFonts w:hAnsi="宋体" w:cs="宋体"/>
                <w:color w:val="000000"/>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color w:val="000000"/>
                <w:sz w:val="22"/>
                <w:szCs w:val="22"/>
              </w:rPr>
            </w:pPr>
            <w:r>
              <w:rPr>
                <w:rFonts w:hint="eastAsia" w:hAnsi="宋体" w:cs="宋体"/>
                <w:color w:val="000000"/>
                <w:sz w:val="22"/>
                <w:szCs w:val="22"/>
              </w:rPr>
              <w:t>张</w:t>
            </w:r>
          </w:p>
        </w:tc>
        <w:tc>
          <w:tcPr>
            <w:tcW w:w="952" w:type="dxa"/>
            <w:tcBorders>
              <w:top w:val="nil"/>
              <w:left w:val="nil"/>
              <w:bottom w:val="single" w:color="auto" w:sz="4" w:space="0"/>
              <w:right w:val="single" w:color="auto" w:sz="4" w:space="0"/>
            </w:tcBorders>
            <w:vAlign w:val="center"/>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19</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水沟盖更换</w:t>
            </w:r>
          </w:p>
        </w:tc>
        <w:tc>
          <w:tcPr>
            <w:tcW w:w="1697" w:type="dxa"/>
            <w:tcBorders>
              <w:top w:val="nil"/>
              <w:left w:val="nil"/>
              <w:bottom w:val="single" w:color="auto" w:sz="4" w:space="0"/>
              <w:right w:val="single" w:color="auto" w:sz="4" w:space="0"/>
            </w:tcBorders>
            <w:vAlign w:val="center"/>
          </w:tcPr>
          <w:p>
            <w:pPr>
              <w:widowControl/>
              <w:jc w:val="left"/>
              <w:rPr>
                <w:rFonts w:hAnsi="宋体" w:cs="宋体"/>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sz w:val="22"/>
                <w:szCs w:val="22"/>
              </w:rPr>
            </w:pPr>
            <w:r>
              <w:rPr>
                <w:rFonts w:hint="eastAsia" w:hAnsi="宋体" w:cs="宋体"/>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sz w:val="24"/>
                <w:szCs w:val="24"/>
              </w:rPr>
            </w:pPr>
            <w:r>
              <w:rPr>
                <w:rFonts w:hint="eastAsia" w:hAnsi="宋体" w:cs="宋体"/>
                <w:color w:val="000000"/>
                <w:sz w:val="24"/>
                <w:szCs w:val="24"/>
              </w:rPr>
              <w:t>20</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color w:val="000000"/>
                <w:sz w:val="24"/>
                <w:szCs w:val="24"/>
              </w:rPr>
            </w:pPr>
            <w:r>
              <w:rPr>
                <w:rFonts w:hint="eastAsia" w:hAnsi="宋体"/>
                <w:color w:val="000000"/>
                <w:sz w:val="24"/>
                <w:szCs w:val="24"/>
              </w:rPr>
              <w:t>铝合金防盗纱窗</w:t>
            </w:r>
          </w:p>
        </w:tc>
        <w:tc>
          <w:tcPr>
            <w:tcW w:w="1697" w:type="dxa"/>
            <w:tcBorders>
              <w:top w:val="nil"/>
              <w:left w:val="nil"/>
              <w:bottom w:val="single" w:color="auto" w:sz="4" w:space="0"/>
              <w:right w:val="single" w:color="auto" w:sz="4" w:space="0"/>
            </w:tcBorders>
            <w:vAlign w:val="center"/>
          </w:tcPr>
          <w:p>
            <w:pPr>
              <w:widowControl/>
              <w:jc w:val="left"/>
              <w:rPr>
                <w:rFonts w:hAnsi="宋体" w:cs="宋体"/>
                <w:color w:val="000000"/>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color w:val="000000"/>
                <w:sz w:val="22"/>
                <w:szCs w:val="22"/>
              </w:rPr>
            </w:pPr>
            <w:r>
              <w:rPr>
                <w:rFonts w:hint="eastAsia" w:hAnsi="宋体" w:cs="宋体"/>
                <w:color w:val="000000"/>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sz w:val="24"/>
                <w:szCs w:val="24"/>
              </w:rPr>
            </w:pPr>
            <w:r>
              <w:rPr>
                <w:rFonts w:hint="eastAsia" w:hAnsi="宋体" w:cs="宋体"/>
                <w:color w:val="000000"/>
                <w:sz w:val="24"/>
                <w:szCs w:val="24"/>
              </w:rPr>
              <w:t>21</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olor w:val="000000"/>
                <w:sz w:val="24"/>
                <w:szCs w:val="24"/>
              </w:rPr>
            </w:pPr>
            <w:r>
              <w:rPr>
                <w:rFonts w:hint="eastAsia" w:hAnsi="宋体"/>
                <w:color w:val="000000"/>
                <w:sz w:val="24"/>
                <w:szCs w:val="24"/>
              </w:rPr>
              <w:t>塑钢纱窗</w:t>
            </w:r>
          </w:p>
        </w:tc>
        <w:tc>
          <w:tcPr>
            <w:tcW w:w="1697" w:type="dxa"/>
            <w:tcBorders>
              <w:top w:val="nil"/>
              <w:left w:val="nil"/>
              <w:bottom w:val="single" w:color="auto" w:sz="4" w:space="0"/>
              <w:right w:val="single" w:color="auto" w:sz="4" w:space="0"/>
            </w:tcBorders>
            <w:vAlign w:val="center"/>
          </w:tcPr>
          <w:p>
            <w:pPr>
              <w:widowControl/>
              <w:jc w:val="left"/>
              <w:rPr>
                <w:rFonts w:hAnsi="宋体" w:cs="宋体"/>
                <w:color w:val="000000"/>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color w:val="000000"/>
                <w:sz w:val="22"/>
                <w:szCs w:val="22"/>
              </w:rPr>
            </w:pPr>
            <w:r>
              <w:rPr>
                <w:rFonts w:hint="eastAsia" w:hAnsi="宋体" w:cs="宋体"/>
                <w:color w:val="000000"/>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sz w:val="24"/>
                <w:szCs w:val="24"/>
              </w:rPr>
            </w:pPr>
            <w:r>
              <w:rPr>
                <w:rFonts w:hint="eastAsia" w:hAnsi="宋体" w:cs="宋体"/>
                <w:color w:val="000000"/>
                <w:sz w:val="24"/>
                <w:szCs w:val="24"/>
              </w:rPr>
              <w:t>22</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color w:val="000000"/>
                <w:sz w:val="24"/>
                <w:szCs w:val="24"/>
              </w:rPr>
            </w:pPr>
            <w:r>
              <w:rPr>
                <w:rFonts w:hint="eastAsia" w:hAnsi="宋体"/>
                <w:color w:val="000000"/>
                <w:sz w:val="24"/>
                <w:szCs w:val="24"/>
              </w:rPr>
              <w:t>垃圾桶除锈上漆</w:t>
            </w:r>
          </w:p>
        </w:tc>
        <w:tc>
          <w:tcPr>
            <w:tcW w:w="1697" w:type="dxa"/>
            <w:tcBorders>
              <w:top w:val="nil"/>
              <w:left w:val="nil"/>
              <w:bottom w:val="single" w:color="auto" w:sz="4" w:space="0"/>
              <w:right w:val="single" w:color="auto" w:sz="4" w:space="0"/>
            </w:tcBorders>
            <w:vAlign w:val="center"/>
          </w:tcPr>
          <w:p>
            <w:pPr>
              <w:widowControl/>
              <w:jc w:val="left"/>
              <w:rPr>
                <w:rFonts w:hAnsi="宋体" w:cs="宋体"/>
                <w:color w:val="000000"/>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color w:val="000000"/>
                <w:sz w:val="22"/>
                <w:szCs w:val="22"/>
              </w:rPr>
            </w:pPr>
            <w:r>
              <w:rPr>
                <w:rFonts w:hint="eastAsia" w:hAnsi="宋体" w:cs="宋体"/>
                <w:color w:val="000000"/>
                <w:sz w:val="22"/>
                <w:szCs w:val="22"/>
              </w:rPr>
              <w:t>个</w:t>
            </w:r>
          </w:p>
        </w:tc>
        <w:tc>
          <w:tcPr>
            <w:tcW w:w="952" w:type="dxa"/>
            <w:tcBorders>
              <w:top w:val="nil"/>
              <w:left w:val="nil"/>
              <w:bottom w:val="single" w:color="auto" w:sz="4" w:space="0"/>
              <w:right w:val="single" w:color="auto" w:sz="4" w:space="0"/>
            </w:tcBorders>
            <w:vAlign w:val="center"/>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sz w:val="24"/>
                <w:szCs w:val="24"/>
              </w:rPr>
            </w:pPr>
            <w:r>
              <w:rPr>
                <w:rFonts w:hint="eastAsia" w:hAnsi="宋体" w:cs="宋体"/>
                <w:color w:val="000000"/>
                <w:sz w:val="24"/>
                <w:szCs w:val="24"/>
              </w:rPr>
              <w:t>2</w:t>
            </w:r>
            <w:r>
              <w:rPr>
                <w:rFonts w:hAnsi="宋体" w:cs="宋体"/>
                <w:color w:val="000000"/>
                <w:sz w:val="24"/>
                <w:szCs w:val="24"/>
              </w:rPr>
              <w:t>3</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olor w:val="000000"/>
                <w:sz w:val="24"/>
                <w:szCs w:val="24"/>
              </w:rPr>
            </w:pPr>
            <w:r>
              <w:rPr>
                <w:rFonts w:hint="eastAsia" w:hAnsi="宋体"/>
                <w:color w:val="000000"/>
                <w:sz w:val="24"/>
                <w:szCs w:val="24"/>
              </w:rPr>
              <w:t>公寓塑钢门板更换</w:t>
            </w:r>
          </w:p>
        </w:tc>
        <w:tc>
          <w:tcPr>
            <w:tcW w:w="1697" w:type="dxa"/>
            <w:tcBorders>
              <w:top w:val="nil"/>
              <w:left w:val="nil"/>
              <w:bottom w:val="single" w:color="auto" w:sz="4" w:space="0"/>
              <w:right w:val="single" w:color="auto" w:sz="4" w:space="0"/>
            </w:tcBorders>
            <w:vAlign w:val="center"/>
          </w:tcPr>
          <w:p>
            <w:pPr>
              <w:widowControl/>
              <w:jc w:val="left"/>
              <w:rPr>
                <w:rFonts w:hAnsi="宋体" w:cs="宋体"/>
                <w:color w:val="000000"/>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color w:val="000000"/>
                <w:sz w:val="22"/>
                <w:szCs w:val="22"/>
              </w:rPr>
            </w:pPr>
            <w:r>
              <w:rPr>
                <w:rFonts w:hint="eastAsia" w:hAnsi="宋体" w:cs="宋体"/>
                <w:color w:val="000000"/>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sz w:val="24"/>
                <w:szCs w:val="24"/>
              </w:rPr>
            </w:pPr>
            <w:r>
              <w:rPr>
                <w:rFonts w:hint="eastAsia" w:hAnsi="宋体" w:cs="宋体"/>
                <w:color w:val="000000"/>
                <w:sz w:val="24"/>
                <w:szCs w:val="24"/>
              </w:rPr>
              <w:t>2</w:t>
            </w:r>
            <w:r>
              <w:rPr>
                <w:rFonts w:hAnsi="宋体" w:cs="宋体"/>
                <w:color w:val="000000"/>
                <w:sz w:val="24"/>
                <w:szCs w:val="24"/>
              </w:rPr>
              <w:t>4</w:t>
            </w:r>
          </w:p>
        </w:tc>
        <w:tc>
          <w:tcPr>
            <w:tcW w:w="4453"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color w:val="000000"/>
                <w:sz w:val="24"/>
                <w:szCs w:val="24"/>
              </w:rPr>
            </w:pPr>
            <w:r>
              <w:rPr>
                <w:rFonts w:hint="eastAsia" w:hAnsi="宋体"/>
                <w:color w:val="000000"/>
                <w:sz w:val="24"/>
                <w:szCs w:val="24"/>
              </w:rPr>
              <w:t>公寓钢质门更换</w:t>
            </w:r>
          </w:p>
        </w:tc>
        <w:tc>
          <w:tcPr>
            <w:tcW w:w="1697" w:type="dxa"/>
            <w:tcBorders>
              <w:top w:val="nil"/>
              <w:left w:val="nil"/>
              <w:bottom w:val="single" w:color="auto" w:sz="4" w:space="0"/>
              <w:right w:val="single" w:color="auto" w:sz="4" w:space="0"/>
            </w:tcBorders>
            <w:vAlign w:val="center"/>
          </w:tcPr>
          <w:p>
            <w:pPr>
              <w:widowControl/>
              <w:jc w:val="left"/>
              <w:rPr>
                <w:rFonts w:hAnsi="宋体" w:cs="宋体"/>
                <w:color w:val="000000"/>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color w:val="000000"/>
                <w:sz w:val="22"/>
                <w:szCs w:val="22"/>
              </w:rPr>
            </w:pPr>
            <w:r>
              <w:rPr>
                <w:rFonts w:hint="eastAsia" w:hAnsi="宋体" w:cs="宋体"/>
                <w:color w:val="000000"/>
                <w:sz w:val="22"/>
                <w:szCs w:val="22"/>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808"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2</w:t>
            </w:r>
            <w:r>
              <w:rPr>
                <w:rFonts w:hAnsi="宋体" w:cs="宋体"/>
                <w:sz w:val="24"/>
                <w:szCs w:val="24"/>
              </w:rPr>
              <w:t>5</w:t>
            </w:r>
          </w:p>
        </w:tc>
        <w:tc>
          <w:tcPr>
            <w:tcW w:w="1931" w:type="dxa"/>
            <w:tcBorders>
              <w:top w:val="nil"/>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int="eastAsia" w:hAnsi="宋体" w:cs="宋体"/>
                <w:sz w:val="24"/>
                <w:szCs w:val="24"/>
              </w:rPr>
              <w:t>室内墙面粉刷（中档材料、含人工及材料费用）</w:t>
            </w:r>
          </w:p>
        </w:tc>
        <w:tc>
          <w:tcPr>
            <w:tcW w:w="2522" w:type="dxa"/>
            <w:tcBorders>
              <w:top w:val="nil"/>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墙面铲除旧腻子后按照正常工艺粉刷出新</w:t>
            </w:r>
          </w:p>
        </w:tc>
        <w:tc>
          <w:tcPr>
            <w:tcW w:w="1697" w:type="dxa"/>
            <w:tcBorders>
              <w:top w:val="nil"/>
              <w:left w:val="nil"/>
              <w:bottom w:val="single" w:color="auto" w:sz="4" w:space="0"/>
              <w:right w:val="single" w:color="auto" w:sz="4" w:space="0"/>
            </w:tcBorders>
            <w:vAlign w:val="center"/>
          </w:tcPr>
          <w:p>
            <w:pPr>
              <w:widowControl/>
              <w:jc w:val="left"/>
              <w:rPr>
                <w:rFonts w:hAnsi="宋体" w:cs="宋体"/>
                <w:sz w:val="21"/>
                <w:szCs w:val="21"/>
              </w:rPr>
            </w:pPr>
            <w:r>
              <w:rPr>
                <w:rFonts w:hint="eastAsia" w:hAnsi="宋体" w:cs="宋体"/>
                <w:sz w:val="21"/>
                <w:szCs w:val="21"/>
              </w:rPr>
              <w:t>　</w:t>
            </w:r>
          </w:p>
        </w:tc>
        <w:tc>
          <w:tcPr>
            <w:tcW w:w="974" w:type="dxa"/>
            <w:tcBorders>
              <w:top w:val="nil"/>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平方</w:t>
            </w:r>
          </w:p>
        </w:tc>
        <w:tc>
          <w:tcPr>
            <w:tcW w:w="952" w:type="dxa"/>
            <w:tcBorders>
              <w:top w:val="nil"/>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　</w:t>
            </w:r>
          </w:p>
        </w:tc>
      </w:tr>
      <w:tr>
        <w:tblPrEx>
          <w:tblCellMar>
            <w:top w:w="0" w:type="dxa"/>
            <w:left w:w="108" w:type="dxa"/>
            <w:bottom w:w="0" w:type="dxa"/>
            <w:right w:w="108" w:type="dxa"/>
          </w:tblCellMar>
        </w:tblPrEx>
        <w:trPr>
          <w:trHeight w:val="569" w:hRule="atLeast"/>
        </w:trPr>
        <w:tc>
          <w:tcPr>
            <w:tcW w:w="924" w:type="dxa"/>
            <w:tcBorders>
              <w:top w:val="nil"/>
              <w:left w:val="single" w:color="auto" w:sz="4" w:space="0"/>
              <w:bottom w:val="single" w:color="auto" w:sz="4" w:space="0"/>
              <w:right w:val="single" w:color="auto" w:sz="4" w:space="0"/>
            </w:tcBorders>
            <w:vAlign w:val="center"/>
          </w:tcPr>
          <w:p>
            <w:pPr>
              <w:widowControl/>
              <w:jc w:val="center"/>
              <w:rPr>
                <w:rFonts w:hAnsi="宋体" w:cs="宋体"/>
                <w:sz w:val="24"/>
                <w:szCs w:val="24"/>
              </w:rPr>
            </w:pPr>
            <w:r>
              <w:rPr>
                <w:rFonts w:hAnsi="宋体" w:cs="宋体"/>
                <w:sz w:val="24"/>
                <w:szCs w:val="24"/>
              </w:rPr>
              <w:t>26</w:t>
            </w:r>
          </w:p>
        </w:tc>
        <w:tc>
          <w:tcPr>
            <w:tcW w:w="4453" w:type="dxa"/>
            <w:gridSpan w:val="2"/>
            <w:tcBorders>
              <w:top w:val="nil"/>
              <w:left w:val="single" w:color="auto" w:sz="4" w:space="0"/>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零星点工含税（费）包干单价</w:t>
            </w:r>
          </w:p>
        </w:tc>
        <w:tc>
          <w:tcPr>
            <w:tcW w:w="1697" w:type="dxa"/>
            <w:tcBorders>
              <w:top w:val="nil"/>
              <w:left w:val="nil"/>
              <w:bottom w:val="single" w:color="auto" w:sz="4" w:space="0"/>
              <w:right w:val="single" w:color="auto" w:sz="4" w:space="0"/>
            </w:tcBorders>
            <w:vAlign w:val="center"/>
          </w:tcPr>
          <w:p>
            <w:pPr>
              <w:widowControl/>
              <w:jc w:val="left"/>
              <w:rPr>
                <w:rFonts w:hAnsi="宋体" w:cs="宋体"/>
                <w:sz w:val="21"/>
                <w:szCs w:val="21"/>
              </w:rPr>
            </w:pPr>
          </w:p>
        </w:tc>
        <w:tc>
          <w:tcPr>
            <w:tcW w:w="974" w:type="dxa"/>
            <w:tcBorders>
              <w:top w:val="nil"/>
              <w:left w:val="nil"/>
              <w:bottom w:val="single" w:color="auto" w:sz="4" w:space="0"/>
              <w:right w:val="single" w:color="auto" w:sz="4" w:space="0"/>
            </w:tcBorders>
            <w:vAlign w:val="center"/>
          </w:tcPr>
          <w:p>
            <w:pPr>
              <w:widowControl/>
              <w:jc w:val="left"/>
              <w:rPr>
                <w:rFonts w:hAnsi="宋体" w:cs="宋体"/>
                <w:sz w:val="24"/>
                <w:szCs w:val="24"/>
              </w:rPr>
            </w:pPr>
            <w:r>
              <w:rPr>
                <w:rFonts w:hint="eastAsia" w:hAnsi="宋体" w:cs="宋体"/>
                <w:sz w:val="24"/>
                <w:szCs w:val="24"/>
              </w:rPr>
              <w:t>元/天</w:t>
            </w:r>
          </w:p>
        </w:tc>
        <w:tc>
          <w:tcPr>
            <w:tcW w:w="952" w:type="dxa"/>
            <w:tcBorders>
              <w:top w:val="nil"/>
              <w:left w:val="nil"/>
              <w:bottom w:val="single" w:color="auto" w:sz="4" w:space="0"/>
              <w:right w:val="single" w:color="auto" w:sz="4" w:space="0"/>
            </w:tcBorders>
            <w:vAlign w:val="center"/>
          </w:tcPr>
          <w:p>
            <w:pPr>
              <w:widowControl/>
              <w:jc w:val="left"/>
              <w:rPr>
                <w:rFonts w:hAnsi="宋体" w:cs="宋体"/>
                <w:sz w:val="24"/>
                <w:szCs w:val="24"/>
              </w:rPr>
            </w:pPr>
          </w:p>
        </w:tc>
      </w:tr>
      <w:tr>
        <w:tblPrEx>
          <w:tblCellMar>
            <w:top w:w="0" w:type="dxa"/>
            <w:left w:w="108" w:type="dxa"/>
            <w:bottom w:w="0" w:type="dxa"/>
            <w:right w:w="108" w:type="dxa"/>
          </w:tblCellMar>
        </w:tblPrEx>
        <w:trPr>
          <w:trHeight w:val="1736" w:hRule="atLeast"/>
        </w:trPr>
        <w:tc>
          <w:tcPr>
            <w:tcW w:w="9002" w:type="dxa"/>
            <w:gridSpan w:val="6"/>
            <w:tcBorders>
              <w:top w:val="single" w:color="auto" w:sz="4" w:space="0"/>
              <w:left w:val="nil"/>
              <w:bottom w:val="nil"/>
              <w:right w:val="nil"/>
            </w:tcBorders>
            <w:vAlign w:val="center"/>
          </w:tcPr>
          <w:p>
            <w:pPr>
              <w:widowControl/>
              <w:jc w:val="left"/>
              <w:rPr>
                <w:rFonts w:hAnsi="宋体" w:cs="宋体"/>
                <w:sz w:val="24"/>
                <w:szCs w:val="24"/>
              </w:rPr>
            </w:pPr>
            <w:r>
              <w:rPr>
                <w:rFonts w:hint="eastAsia" w:hAnsi="宋体" w:cs="宋体"/>
                <w:sz w:val="24"/>
                <w:szCs w:val="24"/>
              </w:rPr>
              <w:t>备注：1、 各类维修项目及墙地砖的材质、颜色、样式以实际维修地点原使用材料为准。地面砖（广场砖、和氏砖、大理石）维修：在保持原有外观图案的基础上进行维修。2、各类维修项目都包工包料、包含撤除的废旧材料及产生垃圾的清运费用。</w:t>
            </w:r>
          </w:p>
        </w:tc>
      </w:tr>
    </w:tbl>
    <w:p>
      <w:pPr>
        <w:pStyle w:val="3"/>
        <w:snapToGrid w:val="0"/>
        <w:spacing w:before="0" w:after="0" w:line="440" w:lineRule="exact"/>
        <w:rPr>
          <w:rFonts w:hAnsi="宋体" w:cs="宋体"/>
          <w:sz w:val="24"/>
          <w:szCs w:val="24"/>
        </w:rPr>
      </w:pPr>
      <w:r>
        <w:rPr>
          <w:rFonts w:hint="eastAsia" w:hAnsi="宋体" w:cs="宋体"/>
          <w:sz w:val="24"/>
          <w:szCs w:val="24"/>
        </w:rPr>
        <w:t>三、技术和其他要求</w:t>
      </w:r>
    </w:p>
    <w:p>
      <w:pPr>
        <w:spacing w:line="360" w:lineRule="auto"/>
        <w:ind w:firstLine="480" w:firstLineChars="200"/>
        <w:rPr>
          <w:rFonts w:hAnsi="宋体"/>
          <w:sz w:val="24"/>
          <w:szCs w:val="24"/>
        </w:rPr>
      </w:pPr>
      <w:r>
        <w:rPr>
          <w:rFonts w:hAnsi="宋体"/>
          <w:sz w:val="24"/>
          <w:szCs w:val="24"/>
        </w:rPr>
        <w:t>1</w:t>
      </w:r>
      <w:r>
        <w:rPr>
          <w:rFonts w:hint="eastAsia" w:hAnsi="宋体"/>
          <w:sz w:val="24"/>
          <w:szCs w:val="24"/>
        </w:rPr>
        <w:t>、维修量无论大小、难易，只要甲方安排，乙方在接到甲方维修任务3小时内要到达现场，紧急情况要确保1小时内到场。2天内报出书面维修方案和费用，在方案获得批准后立即开始实施，并在规定的时间内完成维修和验收，逾期则按总价的5%/天标准承担违约金。确保通讯工具24小时开通，在需要时能够执行甲方的加班要求。</w:t>
      </w:r>
      <w:r>
        <w:rPr>
          <w:rFonts w:hint="eastAsia" w:hAnsi="宋体"/>
          <w:sz w:val="24"/>
          <w:szCs w:val="24"/>
        </w:rPr>
        <w:br w:type="textWrapping"/>
      </w:r>
      <w:r>
        <w:rPr>
          <w:rFonts w:hAnsi="宋体"/>
          <w:sz w:val="24"/>
          <w:szCs w:val="24"/>
        </w:rPr>
        <w:t xml:space="preserve">    2</w:t>
      </w:r>
      <w:r>
        <w:rPr>
          <w:rFonts w:hint="eastAsia" w:hAnsi="宋体"/>
          <w:sz w:val="24"/>
          <w:szCs w:val="24"/>
        </w:rPr>
        <w:t>、保证在资质范围内对甲方零星工程进行施工，如自身资质不足（如维修玻璃幕墙、道路等项目），乙方必须在经甲方同意情况下委托具有相应资质的单位、专业队伍、专业人员负责实施，并对此负全责。</w:t>
      </w:r>
      <w:r>
        <w:rPr>
          <w:rFonts w:hint="eastAsia" w:hAnsi="宋体"/>
          <w:sz w:val="24"/>
          <w:szCs w:val="24"/>
        </w:rPr>
        <w:br w:type="textWrapping"/>
      </w:r>
      <w:r>
        <w:rPr>
          <w:rFonts w:hint="eastAsia" w:hAnsi="宋体"/>
          <w:sz w:val="24"/>
          <w:szCs w:val="24"/>
        </w:rPr>
        <w:t xml:space="preserve">  </w:t>
      </w:r>
      <w:r>
        <w:rPr>
          <w:rFonts w:hAnsi="宋体"/>
          <w:sz w:val="24"/>
          <w:szCs w:val="24"/>
        </w:rPr>
        <w:t xml:space="preserve">  3</w:t>
      </w:r>
      <w:r>
        <w:rPr>
          <w:rFonts w:hint="eastAsia" w:hAnsi="宋体"/>
          <w:sz w:val="24"/>
          <w:szCs w:val="24"/>
        </w:rPr>
        <w:t>、乙方在施工前，应对施工人员及相关人员进行安全培训及交底，保证施工器具、施工设备、施工材料及施工环境处于安全状态下，在工程实施期间乙方保证按照相关行业规范及安全条例进行操作，并做好防护，对施工过程中出现的给他人或自身造成伤害的一切安全事故负全责，接受甲方的监督。</w:t>
      </w:r>
      <w:r>
        <w:rPr>
          <w:rFonts w:hint="eastAsia" w:hAnsi="宋体"/>
          <w:sz w:val="24"/>
          <w:szCs w:val="24"/>
        </w:rPr>
        <w:br w:type="textWrapping"/>
      </w:r>
      <w:r>
        <w:rPr>
          <w:rFonts w:hint="eastAsia" w:hAnsi="宋体"/>
          <w:sz w:val="24"/>
          <w:szCs w:val="24"/>
        </w:rPr>
        <w:t xml:space="preserve">   </w:t>
      </w:r>
      <w:r>
        <w:rPr>
          <w:rFonts w:hAnsi="宋体"/>
          <w:sz w:val="24"/>
          <w:szCs w:val="24"/>
        </w:rPr>
        <w:t>4</w:t>
      </w:r>
      <w:r>
        <w:rPr>
          <w:rFonts w:hint="eastAsia" w:hAnsi="宋体"/>
          <w:sz w:val="24"/>
          <w:szCs w:val="24"/>
        </w:rPr>
        <w:t>、乙方应按照施工方案及现行施工及验收规范进行施工，在每道工序完工后，并在隐蔽前应及时通知甲方管理人员到现场查看验收。</w:t>
      </w:r>
      <w:r>
        <w:rPr>
          <w:rFonts w:hint="eastAsia" w:hAnsi="宋体"/>
          <w:sz w:val="24"/>
          <w:szCs w:val="24"/>
        </w:rPr>
        <w:br w:type="textWrapping"/>
      </w:r>
      <w:r>
        <w:rPr>
          <w:rFonts w:hint="eastAsia" w:hAnsi="宋体"/>
          <w:sz w:val="24"/>
          <w:szCs w:val="24"/>
        </w:rPr>
        <w:t xml:space="preserve">  </w:t>
      </w:r>
      <w:r>
        <w:rPr>
          <w:rFonts w:hAnsi="宋体"/>
          <w:sz w:val="24"/>
          <w:szCs w:val="24"/>
        </w:rPr>
        <w:t xml:space="preserve"> 5</w:t>
      </w:r>
      <w:r>
        <w:rPr>
          <w:rFonts w:hint="eastAsia" w:hAnsi="宋体"/>
          <w:sz w:val="24"/>
          <w:szCs w:val="24"/>
        </w:rPr>
        <w:t>、维修所需费用（维修报价清单中未涉及的项目），乙方应提出合理价格与甲方协商，如乙方多次出现漫天要价或提出极不合理价格，甲方有权视情节严重程度给予经济处罚，直至解除合同。</w:t>
      </w:r>
      <w:r>
        <w:rPr>
          <w:rFonts w:hint="eastAsia" w:hAnsi="宋体"/>
          <w:sz w:val="24"/>
          <w:szCs w:val="24"/>
        </w:rPr>
        <w:br w:type="textWrapping"/>
      </w:r>
      <w:r>
        <w:rPr>
          <w:rFonts w:hint="eastAsia" w:hAnsi="宋体"/>
          <w:sz w:val="24"/>
          <w:szCs w:val="24"/>
        </w:rPr>
        <w:t xml:space="preserve">   </w:t>
      </w:r>
      <w:r>
        <w:rPr>
          <w:rFonts w:hAnsi="宋体"/>
          <w:sz w:val="24"/>
          <w:szCs w:val="24"/>
        </w:rPr>
        <w:t>6</w:t>
      </w:r>
      <w:r>
        <w:rPr>
          <w:rFonts w:hint="eastAsia" w:hAnsi="宋体"/>
          <w:sz w:val="24"/>
          <w:szCs w:val="24"/>
        </w:rPr>
        <w:t xml:space="preserve">、乙方施工过程中需使用电、水源，应事先与甲方取得联系，不得私拉乱接。   </w:t>
      </w:r>
    </w:p>
    <w:p>
      <w:pPr>
        <w:spacing w:line="360" w:lineRule="auto"/>
        <w:ind w:firstLine="480" w:firstLineChars="200"/>
        <w:rPr>
          <w:rFonts w:hAnsi="宋体"/>
          <w:sz w:val="24"/>
          <w:szCs w:val="24"/>
        </w:rPr>
      </w:pPr>
      <w:r>
        <w:rPr>
          <w:rFonts w:hAnsi="宋体"/>
          <w:sz w:val="24"/>
          <w:szCs w:val="24"/>
        </w:rPr>
        <w:t>7</w:t>
      </w:r>
      <w:r>
        <w:rPr>
          <w:rFonts w:hint="eastAsia" w:hAnsi="宋体"/>
          <w:sz w:val="24"/>
          <w:szCs w:val="24"/>
        </w:rPr>
        <w:t>、乙方应做到文明施工，遵守规范，服从管理，杜绝野蛮施工，在施工过程中当天产生的垃圾尽量当日清理干净。施工结束后，乙方应对施工现场彻底清理，做到工完、料尽、场地清。清理出的垃圾要堆放在甲方指定的场地内，否则甲方可根据实际情况进行处罚或更换施工单位。</w:t>
      </w:r>
    </w:p>
    <w:p>
      <w:pPr>
        <w:pStyle w:val="77"/>
        <w:adjustRightInd w:val="0"/>
        <w:snapToGrid w:val="0"/>
        <w:spacing w:line="360" w:lineRule="auto"/>
        <w:ind w:firstLine="0" w:firstLineChars="0"/>
        <w:rPr>
          <w:rFonts w:ascii="宋体" w:cs="宋体"/>
          <w:b/>
          <w:bCs w:val="0"/>
        </w:rPr>
      </w:pPr>
      <w:r>
        <w:rPr>
          <w:rFonts w:hint="eastAsia" w:ascii="宋体" w:cs="宋体"/>
          <w:b/>
          <w:bCs w:val="0"/>
        </w:rPr>
        <w:t>四、商务条款</w:t>
      </w:r>
    </w:p>
    <w:p>
      <w:pPr>
        <w:pStyle w:val="77"/>
        <w:adjustRightInd w:val="0"/>
        <w:snapToGrid w:val="0"/>
        <w:spacing w:line="360" w:lineRule="auto"/>
        <w:rPr>
          <w:rFonts w:ascii="宋体" w:cs="宋体"/>
          <w:b/>
          <w:bCs w:val="0"/>
        </w:rPr>
      </w:pPr>
      <w:r>
        <w:rPr>
          <w:rFonts w:hint="eastAsia" w:ascii="宋体" w:cs="宋体"/>
          <w:lang w:val="en-US"/>
        </w:rPr>
        <w:t>1.</w:t>
      </w:r>
      <w:r>
        <w:rPr>
          <w:rFonts w:hint="eastAsia" w:ascii="宋体" w:cs="宋体"/>
        </w:rPr>
        <w:t>工期要求：</w:t>
      </w:r>
      <w:r>
        <w:rPr>
          <w:rFonts w:hint="eastAsia" w:ascii="宋体" w:cs="宋体"/>
          <w:lang w:val="en-US"/>
        </w:rPr>
        <w:t>30个</w:t>
      </w:r>
      <w:r>
        <w:rPr>
          <w:rFonts w:hint="eastAsia" w:ascii="宋体" w:cs="宋体"/>
        </w:rPr>
        <w:t>日历日（开工日期以开工报告为准）。如果成交供应商无故拖延工程超过完工日期，逾期每日扣</w:t>
      </w:r>
      <w:r>
        <w:rPr>
          <w:rFonts w:hint="eastAsia" w:ascii="宋体" w:cs="宋体"/>
          <w:lang w:val="en-US"/>
        </w:rPr>
        <w:t>500元</w:t>
      </w:r>
      <w:r>
        <w:rPr>
          <w:rFonts w:hint="eastAsia" w:ascii="宋体" w:cs="宋体"/>
        </w:rPr>
        <w:t>的违约金，并且采购人有权无条件解除合同，并要求成交供应商赔偿一切损失。上限为合同金额的</w:t>
      </w:r>
      <w:r>
        <w:rPr>
          <w:rFonts w:hint="eastAsia" w:ascii="宋体" w:cs="宋体"/>
          <w:lang w:val="en-US"/>
        </w:rPr>
        <w:t>10%</w:t>
      </w:r>
      <w:r>
        <w:rPr>
          <w:rFonts w:hint="eastAsia" w:ascii="宋体" w:cs="宋体"/>
        </w:rPr>
        <w:t>。</w:t>
      </w:r>
    </w:p>
    <w:p>
      <w:pPr>
        <w:pStyle w:val="77"/>
        <w:adjustRightInd w:val="0"/>
        <w:snapToGrid w:val="0"/>
        <w:spacing w:line="360" w:lineRule="auto"/>
        <w:rPr>
          <w:rFonts w:ascii="宋体" w:cs="宋体"/>
          <w:b/>
          <w:bCs w:val="0"/>
        </w:rPr>
      </w:pPr>
      <w:r>
        <w:rPr>
          <w:rFonts w:hint="eastAsia" w:ascii="宋体" w:cs="宋体"/>
          <w:lang w:val="en-US"/>
        </w:rPr>
        <w:t>2.</w:t>
      </w:r>
      <w:r>
        <w:rPr>
          <w:rFonts w:hint="eastAsia" w:ascii="宋体" w:cs="宋体"/>
        </w:rPr>
        <w:t>工程质保期：</w:t>
      </w:r>
      <w:r>
        <w:rPr>
          <w:rFonts w:hint="eastAsia" w:ascii="宋体" w:cs="宋体"/>
          <w:lang w:val="en-US"/>
        </w:rPr>
        <w:t>竣工验收合格后12</w:t>
      </w:r>
      <w:r>
        <w:rPr>
          <w:rFonts w:hint="eastAsia" w:ascii="宋体" w:cs="宋体"/>
        </w:rPr>
        <w:t>个月。</w:t>
      </w:r>
    </w:p>
    <w:p>
      <w:pPr>
        <w:pStyle w:val="77"/>
        <w:adjustRightInd w:val="0"/>
        <w:snapToGrid w:val="0"/>
        <w:spacing w:line="360" w:lineRule="auto"/>
        <w:rPr>
          <w:rFonts w:ascii="宋体" w:cs="宋体"/>
        </w:rPr>
      </w:pPr>
      <w:r>
        <w:rPr>
          <w:rFonts w:hint="eastAsia" w:ascii="宋体" w:cs="宋体"/>
          <w:lang w:val="en-US"/>
        </w:rPr>
        <w:t>3.</w:t>
      </w:r>
      <w:r>
        <w:rPr>
          <w:rFonts w:hint="eastAsia" w:ascii="宋体" w:cs="宋体"/>
        </w:rPr>
        <w:t>服务要求：按国家法律规定和合同约定进行质保及售后服务。</w:t>
      </w:r>
    </w:p>
    <w:p>
      <w:pPr>
        <w:pStyle w:val="77"/>
        <w:adjustRightInd w:val="0"/>
        <w:snapToGrid w:val="0"/>
        <w:spacing w:line="360" w:lineRule="auto"/>
        <w:rPr>
          <w:rFonts w:ascii="宋体" w:cs="宋体"/>
        </w:rPr>
      </w:pPr>
      <w:r>
        <w:rPr>
          <w:rFonts w:hint="eastAsia" w:ascii="宋体" w:cs="宋体"/>
          <w:lang w:val="en-US"/>
        </w:rPr>
        <w:t>4.</w:t>
      </w:r>
      <w:r>
        <w:rPr>
          <w:rFonts w:hint="eastAsia" w:ascii="宋体" w:cs="宋体"/>
        </w:rPr>
        <w:t>响应文件中供应商提供的针对本项目人员配置情况表须与实际施工人员相符，否则将视为虚假响应。如有新增人员须持有相关专业上岗证并提供原件查验，否则将视为虚假响应。</w:t>
      </w:r>
    </w:p>
    <w:p>
      <w:pPr>
        <w:pStyle w:val="77"/>
        <w:adjustRightInd w:val="0"/>
        <w:snapToGrid w:val="0"/>
        <w:spacing w:line="360" w:lineRule="auto"/>
        <w:rPr>
          <w:rFonts w:ascii="宋体" w:cs="宋体"/>
        </w:rPr>
      </w:pPr>
      <w:r>
        <w:rPr>
          <w:rFonts w:hint="eastAsia" w:ascii="宋体" w:cs="宋体"/>
          <w:lang w:val="en-US"/>
        </w:rPr>
        <w:t>5.</w:t>
      </w:r>
      <w:r>
        <w:rPr>
          <w:rFonts w:hint="eastAsia" w:ascii="宋体" w:cs="宋体"/>
        </w:rPr>
        <w:t>付款方式</w:t>
      </w:r>
    </w:p>
    <w:p>
      <w:pPr>
        <w:pStyle w:val="77"/>
        <w:adjustRightInd w:val="0"/>
        <w:snapToGrid w:val="0"/>
        <w:spacing w:line="360" w:lineRule="auto"/>
        <w:rPr>
          <w:rFonts w:ascii="宋体" w:cs="宋体"/>
          <w:lang w:val="en-US"/>
        </w:rPr>
      </w:pPr>
      <w:r>
        <w:rPr>
          <w:rFonts w:hint="eastAsia" w:ascii="宋体" w:cs="宋体"/>
        </w:rPr>
        <w:t>（1）</w:t>
      </w:r>
      <w:r>
        <w:rPr>
          <w:rFonts w:hint="eastAsia" w:ascii="宋体" w:cs="宋体"/>
          <w:lang w:val="en-US"/>
        </w:rPr>
        <w:t>固定综合单价，详见投标文件《分项报价明细表》：每项维修完工后按甲方审核标准的维修方案及甲方代表现场签证单确认工作量；维修工程款每半年结算并付款一次。《分项报价明细表》之报价已包含税金、管理费、措施费、人料机等全部费用，除报价外，甲方不另行支付任何费用。</w:t>
      </w:r>
    </w:p>
    <w:p>
      <w:pPr>
        <w:pStyle w:val="77"/>
        <w:adjustRightInd w:val="0"/>
        <w:snapToGrid w:val="0"/>
        <w:spacing w:line="360" w:lineRule="auto"/>
        <w:rPr>
          <w:rFonts w:ascii="宋体" w:cs="宋体"/>
        </w:rPr>
      </w:pPr>
      <w:r>
        <w:rPr>
          <w:rFonts w:hint="eastAsia" w:ascii="宋体" w:cs="宋体"/>
          <w:lang w:val="en-US"/>
        </w:rPr>
        <w:t>（2）竣工验收合格，提供相应的竣工资料且交付采购人、供应商提供相应的正式发票后7个日历天内，支付零星维修价款。</w:t>
      </w:r>
    </w:p>
    <w:p>
      <w:pPr>
        <w:pStyle w:val="77"/>
        <w:adjustRightInd w:val="0"/>
        <w:snapToGrid w:val="0"/>
        <w:spacing w:line="360" w:lineRule="auto"/>
        <w:rPr>
          <w:rFonts w:ascii="宋体" w:cs="宋体"/>
          <w:lang w:val="en-US"/>
        </w:rPr>
      </w:pPr>
      <w:r>
        <w:rPr>
          <w:rFonts w:hint="eastAsia" w:ascii="宋体" w:cs="宋体"/>
          <w:lang w:val="en-US"/>
        </w:rPr>
        <w:t>6.报价说明</w:t>
      </w:r>
    </w:p>
    <w:p>
      <w:pPr>
        <w:pStyle w:val="77"/>
        <w:adjustRightInd w:val="0"/>
        <w:snapToGrid w:val="0"/>
        <w:spacing w:line="360" w:lineRule="auto"/>
        <w:rPr>
          <w:rFonts w:ascii="宋体" w:cs="宋体"/>
          <w:lang w:val="en-US"/>
        </w:rPr>
      </w:pPr>
      <w:r>
        <w:rPr>
          <w:rFonts w:hint="eastAsia" w:ascii="宋体" w:cs="宋体"/>
          <w:lang w:val="en-US"/>
        </w:rPr>
        <w:t>（1）本项目采用固定综合单价，需按项提供分项报价。</w:t>
      </w:r>
    </w:p>
    <w:p>
      <w:pPr>
        <w:pStyle w:val="77"/>
        <w:adjustRightInd w:val="0"/>
        <w:snapToGrid w:val="0"/>
        <w:spacing w:line="360" w:lineRule="auto"/>
        <w:rPr>
          <w:rFonts w:ascii="宋体" w:cs="宋体"/>
        </w:rPr>
      </w:pPr>
      <w:r>
        <w:rPr>
          <w:rFonts w:hint="eastAsia" w:ascii="宋体" w:cs="宋体"/>
          <w:lang w:val="en-US"/>
        </w:rPr>
        <w:t>（</w:t>
      </w:r>
      <w:r>
        <w:rPr>
          <w:rFonts w:ascii="宋体" w:cs="宋体"/>
          <w:lang w:val="en-US"/>
        </w:rPr>
        <w:t>2</w:t>
      </w:r>
      <w:r>
        <w:rPr>
          <w:rFonts w:hint="eastAsia" w:ascii="宋体" w:cs="宋体"/>
          <w:lang w:val="en-US"/>
        </w:rPr>
        <w:t>）供应商承担的工程质量未达到合同约定的标准应承担的违约责任：未达质量标准的，供应商进行返工、整改，至直达到标准，造成的经济损失供应商自行承担。两次返工、整改仍不能达到质量验收规范要求标准的，采购人有权拒绝支付该项目费用，且在结算中不予计取。</w:t>
      </w:r>
      <w:bookmarkEnd w:id="97"/>
    </w:p>
    <w:p>
      <w:pPr>
        <w:pStyle w:val="3"/>
        <w:snapToGrid w:val="0"/>
        <w:spacing w:before="0" w:after="0" w:line="360" w:lineRule="auto"/>
        <w:jc w:val="center"/>
        <w:rPr>
          <w:rFonts w:hAnsi="宋体" w:cs="宋体"/>
          <w:sz w:val="24"/>
          <w:szCs w:val="24"/>
        </w:rPr>
      </w:pPr>
    </w:p>
    <w:p>
      <w:pPr>
        <w:pStyle w:val="3"/>
        <w:snapToGrid w:val="0"/>
        <w:spacing w:before="0" w:after="0" w:line="440" w:lineRule="exact"/>
        <w:jc w:val="center"/>
        <w:rPr>
          <w:rFonts w:hAnsi="宋体" w:cs="宋体"/>
          <w:sz w:val="24"/>
          <w:szCs w:val="24"/>
        </w:rPr>
      </w:pPr>
    </w:p>
    <w:p>
      <w:pPr>
        <w:pStyle w:val="3"/>
        <w:snapToGrid w:val="0"/>
        <w:spacing w:before="0" w:after="0" w:line="440" w:lineRule="exact"/>
        <w:jc w:val="center"/>
        <w:rPr>
          <w:rFonts w:hAnsi="宋体" w:cs="宋体"/>
          <w:sz w:val="24"/>
          <w:szCs w:val="24"/>
        </w:rPr>
      </w:pPr>
    </w:p>
    <w:p>
      <w:pPr>
        <w:pStyle w:val="3"/>
        <w:snapToGrid w:val="0"/>
        <w:spacing w:before="0" w:after="0" w:line="440" w:lineRule="exact"/>
        <w:jc w:val="center"/>
        <w:rPr>
          <w:rFonts w:hAnsi="宋体" w:cs="宋体"/>
          <w:sz w:val="24"/>
          <w:szCs w:val="24"/>
        </w:rPr>
      </w:pPr>
    </w:p>
    <w:p>
      <w:pPr>
        <w:pStyle w:val="3"/>
        <w:snapToGrid w:val="0"/>
        <w:spacing w:before="0" w:after="0" w:line="440" w:lineRule="exact"/>
        <w:jc w:val="center"/>
        <w:rPr>
          <w:rFonts w:hAnsi="宋体" w:cs="宋体"/>
          <w:sz w:val="24"/>
          <w:szCs w:val="24"/>
        </w:rPr>
      </w:pPr>
    </w:p>
    <w:p>
      <w:pPr>
        <w:pStyle w:val="3"/>
        <w:snapToGrid w:val="0"/>
        <w:spacing w:before="0" w:after="0" w:line="440" w:lineRule="exact"/>
        <w:jc w:val="center"/>
        <w:rPr>
          <w:rFonts w:hAnsi="宋体" w:cs="宋体"/>
          <w:sz w:val="24"/>
          <w:szCs w:val="24"/>
        </w:rPr>
      </w:pPr>
    </w:p>
    <w:p>
      <w:pPr>
        <w:pStyle w:val="3"/>
        <w:snapToGrid w:val="0"/>
        <w:spacing w:before="0" w:after="0" w:line="440" w:lineRule="exact"/>
        <w:jc w:val="center"/>
        <w:rPr>
          <w:rFonts w:hAnsi="宋体" w:cs="宋体"/>
          <w:sz w:val="24"/>
          <w:szCs w:val="24"/>
        </w:rPr>
      </w:pPr>
    </w:p>
    <w:p>
      <w:pPr>
        <w:pStyle w:val="3"/>
        <w:snapToGrid w:val="0"/>
        <w:spacing w:before="0" w:after="0" w:line="440" w:lineRule="exact"/>
        <w:jc w:val="center"/>
        <w:rPr>
          <w:rFonts w:hAnsi="宋体" w:cs="宋体"/>
          <w:sz w:val="24"/>
          <w:szCs w:val="24"/>
        </w:rPr>
      </w:pPr>
    </w:p>
    <w:p>
      <w:pPr>
        <w:pStyle w:val="3"/>
        <w:snapToGrid w:val="0"/>
        <w:spacing w:before="0" w:after="0" w:line="240" w:lineRule="auto"/>
        <w:jc w:val="center"/>
        <w:rPr>
          <w:rFonts w:hAnsi="宋体" w:cs="宋体"/>
          <w:sz w:val="24"/>
          <w:szCs w:val="24"/>
        </w:rPr>
      </w:pPr>
    </w:p>
    <w:p>
      <w:pPr>
        <w:pStyle w:val="3"/>
        <w:snapToGrid w:val="0"/>
        <w:spacing w:before="0" w:after="0" w:line="240" w:lineRule="auto"/>
        <w:jc w:val="center"/>
        <w:rPr>
          <w:rFonts w:hAnsi="宋体" w:cs="宋体"/>
          <w:sz w:val="24"/>
          <w:szCs w:val="24"/>
        </w:rPr>
      </w:pPr>
    </w:p>
    <w:p>
      <w:pPr>
        <w:pStyle w:val="3"/>
        <w:snapToGrid w:val="0"/>
        <w:spacing w:before="0" w:after="0" w:line="240" w:lineRule="auto"/>
        <w:jc w:val="center"/>
        <w:rPr>
          <w:rFonts w:hAnsi="宋体" w:cs="宋体"/>
          <w:sz w:val="24"/>
          <w:szCs w:val="24"/>
        </w:rPr>
      </w:pPr>
    </w:p>
    <w:p>
      <w:pPr>
        <w:pStyle w:val="3"/>
        <w:snapToGrid w:val="0"/>
        <w:spacing w:before="0" w:after="0" w:line="240" w:lineRule="auto"/>
        <w:jc w:val="center"/>
        <w:rPr>
          <w:rFonts w:hAnsi="宋体" w:cs="宋体"/>
          <w:sz w:val="24"/>
          <w:szCs w:val="24"/>
        </w:rPr>
      </w:pPr>
    </w:p>
    <w:p>
      <w:pPr>
        <w:pStyle w:val="3"/>
        <w:snapToGrid w:val="0"/>
        <w:spacing w:before="0" w:after="0" w:line="240" w:lineRule="auto"/>
        <w:jc w:val="center"/>
        <w:rPr>
          <w:rFonts w:hAnsi="宋体" w:cs="宋体"/>
          <w:sz w:val="24"/>
          <w:szCs w:val="24"/>
        </w:rPr>
      </w:pPr>
    </w:p>
    <w:p>
      <w:pPr>
        <w:pStyle w:val="3"/>
        <w:snapToGrid w:val="0"/>
        <w:spacing w:before="0" w:after="0" w:line="240" w:lineRule="auto"/>
        <w:jc w:val="center"/>
        <w:rPr>
          <w:rFonts w:hAnsi="宋体" w:cs="宋体"/>
          <w:sz w:val="24"/>
          <w:szCs w:val="24"/>
        </w:rPr>
      </w:pPr>
    </w:p>
    <w:p>
      <w:pPr>
        <w:pStyle w:val="3"/>
        <w:snapToGrid w:val="0"/>
        <w:spacing w:before="0" w:after="0" w:line="240" w:lineRule="auto"/>
        <w:jc w:val="center"/>
        <w:rPr>
          <w:rFonts w:hAnsi="宋体" w:cs="宋体"/>
          <w:sz w:val="24"/>
          <w:szCs w:val="24"/>
        </w:rPr>
      </w:pPr>
    </w:p>
    <w:p>
      <w:pPr>
        <w:pStyle w:val="3"/>
        <w:snapToGrid w:val="0"/>
        <w:spacing w:before="0" w:after="0" w:line="240" w:lineRule="auto"/>
        <w:rPr>
          <w:rFonts w:hAnsi="宋体" w:cs="宋体"/>
          <w:sz w:val="24"/>
          <w:szCs w:val="24"/>
        </w:rPr>
      </w:pPr>
    </w:p>
    <w:p>
      <w:pPr>
        <w:pStyle w:val="3"/>
        <w:snapToGrid w:val="0"/>
        <w:spacing w:before="0" w:after="0" w:line="240" w:lineRule="auto"/>
        <w:jc w:val="center"/>
        <w:rPr>
          <w:rFonts w:hAnsi="宋体" w:cs="宋体"/>
          <w:sz w:val="24"/>
          <w:szCs w:val="24"/>
        </w:rPr>
      </w:pPr>
    </w:p>
    <w:p>
      <w:pPr>
        <w:rPr>
          <w:rFonts w:hAnsi="宋体" w:cs="宋体"/>
          <w:sz w:val="24"/>
          <w:szCs w:val="24"/>
        </w:rPr>
      </w:pPr>
      <w:r>
        <w:rPr>
          <w:rFonts w:hint="eastAsia" w:hAnsi="宋体" w:cs="宋体"/>
          <w:sz w:val="24"/>
          <w:szCs w:val="24"/>
        </w:rPr>
        <w:br w:type="page"/>
      </w:r>
    </w:p>
    <w:p>
      <w:pPr>
        <w:pStyle w:val="3"/>
        <w:snapToGrid w:val="0"/>
        <w:spacing w:before="0" w:after="0" w:line="240" w:lineRule="auto"/>
        <w:jc w:val="center"/>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51" w:firstLineChars="188"/>
        <w:jc w:val="left"/>
        <w:rPr>
          <w:rFonts w:hAnsi="宋体"/>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19"/>
        <w:tblW w:w="97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1405"/>
        <w:gridCol w:w="539"/>
        <w:gridCol w:w="6184"/>
        <w:gridCol w:w="1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580" w:type="dxa"/>
          </w:tcPr>
          <w:p>
            <w:pPr>
              <w:pStyle w:val="78"/>
              <w:ind w:left="164"/>
              <w:rPr>
                <w:rFonts w:ascii="宋体" w:hAnsi="宋体" w:eastAsia="宋体" w:cs="宋体"/>
                <w:bCs/>
                <w:sz w:val="24"/>
                <w:szCs w:val="24"/>
              </w:rPr>
            </w:pPr>
            <w:r>
              <w:rPr>
                <w:rFonts w:hint="eastAsia" w:ascii="宋体" w:hAnsi="宋体" w:eastAsia="宋体" w:cs="宋体"/>
                <w:bCs/>
                <w:sz w:val="24"/>
                <w:szCs w:val="24"/>
              </w:rPr>
              <w:t>序</w:t>
            </w:r>
          </w:p>
          <w:p>
            <w:pPr>
              <w:pStyle w:val="78"/>
              <w:ind w:left="169"/>
              <w:rPr>
                <w:rFonts w:ascii="宋体" w:hAnsi="宋体" w:eastAsia="宋体" w:cs="宋体"/>
                <w:bCs/>
                <w:sz w:val="24"/>
                <w:szCs w:val="24"/>
              </w:rPr>
            </w:pPr>
            <w:r>
              <w:rPr>
                <w:rFonts w:hint="eastAsia" w:ascii="宋体" w:hAnsi="宋体" w:eastAsia="宋体" w:cs="宋体"/>
                <w:bCs/>
                <w:sz w:val="24"/>
                <w:szCs w:val="24"/>
              </w:rPr>
              <w:t>号</w:t>
            </w:r>
          </w:p>
        </w:tc>
        <w:tc>
          <w:tcPr>
            <w:tcW w:w="1405" w:type="dxa"/>
          </w:tcPr>
          <w:p>
            <w:pPr>
              <w:pStyle w:val="78"/>
              <w:ind w:left="234"/>
              <w:rPr>
                <w:rFonts w:ascii="宋体" w:hAnsi="宋体" w:eastAsia="宋体" w:cs="宋体"/>
                <w:bCs/>
                <w:sz w:val="24"/>
                <w:szCs w:val="24"/>
              </w:rPr>
            </w:pPr>
            <w:r>
              <w:rPr>
                <w:rFonts w:hint="eastAsia" w:ascii="宋体" w:hAnsi="宋体" w:eastAsia="宋体" w:cs="宋体"/>
                <w:bCs/>
                <w:sz w:val="24"/>
                <w:szCs w:val="24"/>
              </w:rPr>
              <w:t>评分因素</w:t>
            </w:r>
          </w:p>
          <w:p>
            <w:pPr>
              <w:pStyle w:val="78"/>
              <w:ind w:left="340"/>
              <w:rPr>
                <w:rFonts w:ascii="宋体" w:hAnsi="宋体" w:eastAsia="宋体" w:cs="宋体"/>
                <w:bCs/>
                <w:sz w:val="24"/>
                <w:szCs w:val="24"/>
              </w:rPr>
            </w:pPr>
            <w:r>
              <w:rPr>
                <w:rFonts w:hint="eastAsia" w:ascii="宋体" w:hAnsi="宋体" w:eastAsia="宋体" w:cs="宋体"/>
                <w:bCs/>
                <w:sz w:val="24"/>
                <w:szCs w:val="24"/>
              </w:rPr>
              <w:t>及权重</w:t>
            </w:r>
          </w:p>
        </w:tc>
        <w:tc>
          <w:tcPr>
            <w:tcW w:w="539" w:type="dxa"/>
          </w:tcPr>
          <w:p>
            <w:pPr>
              <w:pStyle w:val="78"/>
              <w:ind w:left="106"/>
              <w:rPr>
                <w:rFonts w:ascii="宋体" w:hAnsi="宋体" w:eastAsia="宋体" w:cs="宋体"/>
                <w:bCs/>
                <w:sz w:val="24"/>
                <w:szCs w:val="24"/>
              </w:rPr>
            </w:pPr>
            <w:r>
              <w:rPr>
                <w:rFonts w:hint="eastAsia" w:ascii="宋体" w:hAnsi="宋体" w:eastAsia="宋体" w:cs="宋体"/>
                <w:bCs/>
                <w:sz w:val="24"/>
                <w:szCs w:val="24"/>
              </w:rPr>
              <w:t>分</w:t>
            </w:r>
          </w:p>
          <w:p>
            <w:pPr>
              <w:pStyle w:val="78"/>
              <w:ind w:left="106"/>
              <w:rPr>
                <w:rFonts w:ascii="宋体" w:hAnsi="宋体" w:eastAsia="宋体" w:cs="宋体"/>
                <w:bCs/>
                <w:sz w:val="24"/>
                <w:szCs w:val="24"/>
              </w:rPr>
            </w:pPr>
            <w:r>
              <w:rPr>
                <w:rFonts w:hint="eastAsia" w:ascii="宋体" w:hAnsi="宋体" w:eastAsia="宋体" w:cs="宋体"/>
                <w:bCs/>
                <w:sz w:val="24"/>
                <w:szCs w:val="24"/>
              </w:rPr>
              <w:t>值</w:t>
            </w:r>
          </w:p>
        </w:tc>
        <w:tc>
          <w:tcPr>
            <w:tcW w:w="6184" w:type="dxa"/>
          </w:tcPr>
          <w:p>
            <w:pPr>
              <w:pStyle w:val="78"/>
              <w:ind w:left="2604" w:right="2565"/>
              <w:jc w:val="center"/>
              <w:rPr>
                <w:rFonts w:ascii="宋体" w:hAnsi="宋体" w:eastAsia="宋体" w:cs="宋体"/>
                <w:bCs/>
                <w:sz w:val="24"/>
                <w:szCs w:val="24"/>
              </w:rPr>
            </w:pPr>
            <w:r>
              <w:rPr>
                <w:rFonts w:hint="eastAsia" w:ascii="宋体" w:hAnsi="宋体" w:eastAsia="宋体" w:cs="宋体"/>
                <w:bCs/>
                <w:sz w:val="24"/>
                <w:szCs w:val="24"/>
              </w:rPr>
              <w:t>评分标准</w:t>
            </w:r>
          </w:p>
        </w:tc>
        <w:tc>
          <w:tcPr>
            <w:tcW w:w="1086" w:type="dxa"/>
          </w:tcPr>
          <w:p>
            <w:pPr>
              <w:pStyle w:val="78"/>
              <w:ind w:left="302"/>
              <w:rPr>
                <w:rFonts w:ascii="宋体" w:hAnsi="宋体" w:eastAsia="宋体" w:cs="宋体"/>
                <w:bCs/>
                <w:sz w:val="24"/>
                <w:szCs w:val="24"/>
              </w:rPr>
            </w:pPr>
            <w:r>
              <w:rPr>
                <w:rFonts w:hint="eastAsia" w:ascii="宋体" w:hAnsi="宋体" w:eastAsia="宋体" w:cs="宋体"/>
                <w:bCs/>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80" w:type="dxa"/>
            <w:vAlign w:val="center"/>
          </w:tcPr>
          <w:p>
            <w:pPr>
              <w:pStyle w:val="78"/>
              <w:ind w:left="8"/>
              <w:jc w:val="center"/>
              <w:rPr>
                <w:rFonts w:ascii="宋体" w:hAnsi="宋体" w:eastAsia="宋体" w:cs="宋体"/>
                <w:bCs/>
                <w:sz w:val="24"/>
                <w:szCs w:val="24"/>
              </w:rPr>
            </w:pPr>
            <w:r>
              <w:rPr>
                <w:rFonts w:hint="eastAsia" w:ascii="宋体" w:hAnsi="宋体" w:eastAsia="宋体" w:cs="宋体"/>
                <w:bCs/>
                <w:sz w:val="24"/>
                <w:szCs w:val="24"/>
              </w:rPr>
              <w:t>1</w:t>
            </w:r>
          </w:p>
        </w:tc>
        <w:tc>
          <w:tcPr>
            <w:tcW w:w="1405" w:type="dxa"/>
            <w:vAlign w:val="center"/>
          </w:tcPr>
          <w:p>
            <w:pPr>
              <w:pStyle w:val="78"/>
              <w:ind w:left="251"/>
              <w:rPr>
                <w:rFonts w:ascii="宋体" w:hAnsi="宋体" w:eastAsia="宋体" w:cs="宋体"/>
                <w:bCs/>
                <w:sz w:val="24"/>
                <w:szCs w:val="24"/>
              </w:rPr>
            </w:pPr>
            <w:r>
              <w:rPr>
                <w:rFonts w:hint="eastAsia" w:ascii="宋体" w:hAnsi="宋体" w:eastAsia="宋体" w:cs="宋体"/>
                <w:bCs/>
                <w:sz w:val="24"/>
                <w:szCs w:val="24"/>
              </w:rPr>
              <w:t>报价</w:t>
            </w:r>
            <w:r>
              <w:rPr>
                <w:rFonts w:ascii="宋体" w:hAnsi="宋体" w:eastAsia="宋体" w:cs="宋体"/>
                <w:bCs/>
                <w:sz w:val="24"/>
                <w:szCs w:val="24"/>
                <w:lang w:val="en-US"/>
              </w:rPr>
              <w:t>30</w:t>
            </w:r>
            <w:r>
              <w:rPr>
                <w:rFonts w:hint="eastAsia" w:ascii="宋体" w:hAnsi="宋体" w:eastAsia="宋体" w:cs="宋体"/>
                <w:bCs/>
                <w:sz w:val="24"/>
                <w:szCs w:val="24"/>
              </w:rPr>
              <w:t>%</w:t>
            </w:r>
          </w:p>
        </w:tc>
        <w:tc>
          <w:tcPr>
            <w:tcW w:w="539" w:type="dxa"/>
            <w:vAlign w:val="center"/>
          </w:tcPr>
          <w:p>
            <w:pPr>
              <w:pStyle w:val="78"/>
              <w:jc w:val="center"/>
              <w:rPr>
                <w:rFonts w:ascii="宋体" w:hAnsi="宋体" w:eastAsia="宋体" w:cs="宋体"/>
                <w:bCs/>
                <w:sz w:val="24"/>
                <w:szCs w:val="24"/>
              </w:rPr>
            </w:pPr>
            <w:r>
              <w:rPr>
                <w:rFonts w:ascii="宋体" w:hAnsi="宋体" w:eastAsia="宋体" w:cs="宋体"/>
                <w:bCs/>
                <w:sz w:val="24"/>
                <w:szCs w:val="24"/>
                <w:lang w:val="en-US"/>
              </w:rPr>
              <w:t>30</w:t>
            </w:r>
            <w:r>
              <w:rPr>
                <w:rFonts w:hint="eastAsia" w:ascii="宋体" w:hAnsi="宋体" w:eastAsia="宋体" w:cs="宋体"/>
                <w:bCs/>
                <w:sz w:val="24"/>
                <w:szCs w:val="24"/>
              </w:rPr>
              <w:t>分</w:t>
            </w:r>
          </w:p>
        </w:tc>
        <w:tc>
          <w:tcPr>
            <w:tcW w:w="6184" w:type="dxa"/>
          </w:tcPr>
          <w:p>
            <w:pPr>
              <w:pStyle w:val="78"/>
              <w:ind w:left="107"/>
              <w:rPr>
                <w:rFonts w:ascii="宋体" w:hAnsi="宋体" w:eastAsia="宋体" w:cs="宋体"/>
                <w:bCs/>
                <w:sz w:val="24"/>
                <w:szCs w:val="24"/>
                <w:lang w:val="en-US"/>
              </w:rPr>
            </w:pPr>
            <w:r>
              <w:rPr>
                <w:rFonts w:hint="eastAsia" w:ascii="宋体" w:hAnsi="宋体" w:eastAsia="宋体" w:cs="宋体"/>
                <w:bCs/>
                <w:sz w:val="24"/>
                <w:szCs w:val="24"/>
              </w:rPr>
              <w:t>满足招标文件要求且价格最低的报价为投标基准价，其价格分为满分。其他有效供应商的价格分统一按照下列公式计算：磋商报价得分=(投标基准价／投标报价)×</w:t>
            </w:r>
            <w:r>
              <w:rPr>
                <w:rFonts w:ascii="宋体" w:hAnsi="宋体" w:eastAsia="宋体" w:cs="宋体"/>
                <w:bCs/>
                <w:sz w:val="24"/>
                <w:szCs w:val="24"/>
                <w:lang w:val="en-US"/>
              </w:rPr>
              <w:t>30</w:t>
            </w:r>
            <w:r>
              <w:rPr>
                <w:rFonts w:hint="eastAsia" w:ascii="宋体" w:hAnsi="宋体" w:eastAsia="宋体" w:cs="宋体"/>
                <w:bCs/>
                <w:sz w:val="24"/>
                <w:szCs w:val="24"/>
              </w:rPr>
              <w:t>。</w:t>
            </w:r>
          </w:p>
        </w:tc>
        <w:tc>
          <w:tcPr>
            <w:tcW w:w="1086" w:type="dxa"/>
          </w:tcPr>
          <w:p>
            <w:pPr>
              <w:pStyle w:val="78"/>
              <w:ind w:left="182" w:right="171"/>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80" w:type="dxa"/>
            <w:vMerge w:val="restart"/>
            <w:vAlign w:val="center"/>
          </w:tcPr>
          <w:p>
            <w:pPr>
              <w:pStyle w:val="78"/>
              <w:ind w:left="8"/>
              <w:jc w:val="center"/>
              <w:rPr>
                <w:rFonts w:ascii="宋体" w:hAnsi="宋体" w:eastAsia="宋体" w:cs="宋体"/>
                <w:bCs/>
                <w:sz w:val="24"/>
                <w:szCs w:val="24"/>
              </w:rPr>
            </w:pPr>
            <w:r>
              <w:rPr>
                <w:rFonts w:hint="eastAsia" w:ascii="宋体" w:hAnsi="宋体" w:eastAsia="宋体" w:cs="宋体"/>
                <w:bCs/>
                <w:sz w:val="24"/>
                <w:szCs w:val="24"/>
                <w:lang w:val="en-US"/>
              </w:rPr>
              <w:t>2</w:t>
            </w:r>
          </w:p>
        </w:tc>
        <w:tc>
          <w:tcPr>
            <w:tcW w:w="1405" w:type="dxa"/>
            <w:vMerge w:val="restart"/>
            <w:vAlign w:val="center"/>
          </w:tcPr>
          <w:p>
            <w:pPr>
              <w:pStyle w:val="78"/>
              <w:ind w:left="107"/>
              <w:rPr>
                <w:rFonts w:hint="eastAsia" w:ascii="宋体" w:hAnsi="宋体" w:eastAsia="宋体" w:cs="宋体"/>
                <w:bCs/>
                <w:sz w:val="24"/>
                <w:szCs w:val="24"/>
              </w:rPr>
            </w:pPr>
            <w:r>
              <w:rPr>
                <w:rFonts w:hint="eastAsia" w:ascii="宋体" w:hAnsi="宋体" w:eastAsia="宋体" w:cs="宋体"/>
                <w:bCs/>
                <w:sz w:val="24"/>
                <w:szCs w:val="24"/>
              </w:rPr>
              <w:t>技术服务</w:t>
            </w:r>
          </w:p>
          <w:p>
            <w:pPr>
              <w:pStyle w:val="78"/>
              <w:ind w:left="107"/>
              <w:rPr>
                <w:rFonts w:ascii="宋体" w:hAnsi="宋体" w:eastAsia="宋体" w:cs="宋体"/>
                <w:bCs/>
                <w:sz w:val="24"/>
                <w:szCs w:val="24"/>
              </w:rPr>
            </w:pPr>
            <w:r>
              <w:rPr>
                <w:rFonts w:hint="eastAsia" w:ascii="宋体" w:hAnsi="宋体" w:eastAsia="宋体" w:cs="宋体"/>
                <w:bCs/>
                <w:sz w:val="24"/>
                <w:szCs w:val="24"/>
              </w:rPr>
              <w:t>方案</w:t>
            </w:r>
          </w:p>
        </w:tc>
        <w:tc>
          <w:tcPr>
            <w:tcW w:w="539" w:type="dxa"/>
            <w:vMerge w:val="restart"/>
            <w:vAlign w:val="center"/>
          </w:tcPr>
          <w:p>
            <w:pPr>
              <w:pStyle w:val="78"/>
              <w:ind w:left="107"/>
              <w:rPr>
                <w:rFonts w:ascii="宋体" w:hAnsi="宋体" w:eastAsia="宋体" w:cs="宋体"/>
                <w:bCs/>
                <w:sz w:val="24"/>
                <w:szCs w:val="24"/>
              </w:rPr>
            </w:pPr>
            <w:r>
              <w:rPr>
                <w:rFonts w:ascii="宋体" w:hAnsi="宋体" w:eastAsia="宋体" w:cs="宋体"/>
                <w:bCs/>
                <w:sz w:val="24"/>
                <w:szCs w:val="24"/>
                <w:lang w:val="en-US"/>
              </w:rPr>
              <w:t>45</w:t>
            </w:r>
            <w:r>
              <w:rPr>
                <w:rFonts w:hint="eastAsia" w:ascii="宋体" w:hAnsi="宋体" w:eastAsia="宋体" w:cs="宋体"/>
                <w:bCs/>
                <w:sz w:val="24"/>
                <w:szCs w:val="24"/>
              </w:rPr>
              <w:t>分</w:t>
            </w:r>
          </w:p>
        </w:tc>
        <w:tc>
          <w:tcPr>
            <w:tcW w:w="6184" w:type="dxa"/>
            <w:vAlign w:val="center"/>
          </w:tcPr>
          <w:p>
            <w:pPr>
              <w:pStyle w:val="78"/>
              <w:ind w:left="107"/>
              <w:rPr>
                <w:rFonts w:hint="eastAsia" w:ascii="宋体" w:hAnsi="宋体" w:eastAsia="宋体" w:cs="宋体"/>
                <w:bCs/>
                <w:sz w:val="24"/>
                <w:szCs w:val="24"/>
                <w:lang w:val="en-US" w:eastAsia="zh-CN"/>
              </w:rPr>
            </w:pPr>
            <w:r>
              <w:rPr>
                <w:rFonts w:hint="eastAsia" w:ascii="宋体" w:hAnsi="宋体" w:eastAsia="宋体" w:cs="宋体"/>
                <w:bCs/>
                <w:sz w:val="24"/>
                <w:szCs w:val="24"/>
              </w:rPr>
              <w:t>根据供应商针对本项目提供的施工方案与技术措施进行评审：①施工组织方案；</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eastAsia="zh-CN"/>
              </w:rPr>
              <w:t>）</w:t>
            </w:r>
            <w:r>
              <w:rPr>
                <w:rFonts w:hint="eastAsia" w:ascii="宋体" w:hAnsi="宋体" w:eastAsia="宋体" w:cs="宋体"/>
                <w:bCs/>
                <w:sz w:val="24"/>
                <w:szCs w:val="24"/>
              </w:rPr>
              <w:t>②技术保证措施方案；</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eastAsia="zh-CN"/>
              </w:rPr>
              <w:t>）</w:t>
            </w:r>
            <w:r>
              <w:rPr>
                <w:rFonts w:hint="eastAsia" w:ascii="宋体" w:hAnsi="宋体" w:eastAsia="宋体" w:cs="宋体"/>
                <w:bCs/>
                <w:sz w:val="24"/>
                <w:szCs w:val="24"/>
              </w:rPr>
              <w:t>③项目部的协调措施；</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3分</w:t>
            </w:r>
            <w:r>
              <w:rPr>
                <w:rFonts w:hint="eastAsia" w:ascii="宋体" w:hAnsi="宋体" w:eastAsia="宋体" w:cs="宋体"/>
                <w:bCs/>
                <w:sz w:val="24"/>
                <w:szCs w:val="24"/>
                <w:lang w:eastAsia="zh-CN"/>
              </w:rPr>
              <w:t>）</w:t>
            </w:r>
            <w:r>
              <w:rPr>
                <w:rFonts w:hint="eastAsia" w:ascii="宋体" w:hAnsi="宋体" w:eastAsia="宋体" w:cs="宋体"/>
                <w:bCs/>
                <w:sz w:val="24"/>
                <w:szCs w:val="24"/>
              </w:rPr>
              <w:t>④施工过程中的重难点分析；</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3分</w:t>
            </w:r>
            <w:r>
              <w:rPr>
                <w:rFonts w:hint="eastAsia" w:ascii="宋体" w:hAnsi="宋体" w:eastAsia="宋体" w:cs="宋体"/>
                <w:bCs/>
                <w:sz w:val="24"/>
                <w:szCs w:val="24"/>
                <w:lang w:eastAsia="zh-CN"/>
              </w:rPr>
              <w:t>）</w:t>
            </w:r>
            <w:r>
              <w:rPr>
                <w:rFonts w:hint="eastAsia" w:ascii="宋体" w:hAnsi="宋体" w:eastAsia="宋体" w:cs="宋体"/>
                <w:bCs/>
                <w:sz w:val="24"/>
                <w:szCs w:val="24"/>
              </w:rPr>
              <w:t>⑤劳动生产力计划；</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1分</w:t>
            </w:r>
            <w:r>
              <w:rPr>
                <w:rFonts w:hint="eastAsia" w:ascii="宋体" w:hAnsi="宋体" w:eastAsia="宋体" w:cs="宋体"/>
                <w:bCs/>
                <w:sz w:val="24"/>
                <w:szCs w:val="24"/>
                <w:lang w:eastAsia="zh-CN"/>
              </w:rPr>
              <w:t>）</w:t>
            </w:r>
            <w:r>
              <w:rPr>
                <w:rFonts w:hint="eastAsia" w:ascii="宋体" w:hAnsi="宋体" w:eastAsia="宋体" w:cs="宋体"/>
                <w:bCs/>
                <w:sz w:val="24"/>
                <w:szCs w:val="24"/>
              </w:rPr>
              <w:t>⑥主要机械设备配备。</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1分</w:t>
            </w:r>
            <w:r>
              <w:rPr>
                <w:rFonts w:hint="eastAsia" w:ascii="宋体" w:hAnsi="宋体" w:eastAsia="宋体" w:cs="宋体"/>
                <w:bCs/>
                <w:sz w:val="24"/>
                <w:szCs w:val="24"/>
                <w:lang w:eastAsia="zh-CN"/>
              </w:rPr>
              <w:t>）</w:t>
            </w:r>
            <w:r>
              <w:rPr>
                <w:rFonts w:hint="eastAsia" w:ascii="宋体" w:hAnsi="宋体" w:eastAsia="宋体" w:cs="宋体"/>
                <w:bCs/>
                <w:sz w:val="24"/>
                <w:szCs w:val="24"/>
              </w:rPr>
              <w:t>各项内容为专门针对本项目编制，符合本项目实际情况，共计得分1</w:t>
            </w:r>
            <w:r>
              <w:rPr>
                <w:rFonts w:ascii="宋体" w:hAnsi="宋体" w:eastAsia="宋体" w:cs="宋体"/>
                <w:bCs/>
                <w:sz w:val="24"/>
                <w:szCs w:val="24"/>
              </w:rPr>
              <w:t>8</w:t>
            </w:r>
            <w:r>
              <w:rPr>
                <w:rFonts w:hint="eastAsia" w:ascii="宋体" w:hAnsi="宋体" w:eastAsia="宋体" w:cs="宋体"/>
                <w:bCs/>
                <w:sz w:val="24"/>
                <w:szCs w:val="24"/>
              </w:rPr>
              <w:t>分；每缺少一项内容或该项内容非专门针对本项目或内容不符合本项目实际情</w:t>
            </w:r>
            <w:r>
              <w:rPr>
                <w:rFonts w:hint="eastAsia" w:ascii="宋体" w:hAnsi="宋体" w:eastAsia="宋体" w:cs="宋体"/>
                <w:bCs/>
                <w:sz w:val="24"/>
                <w:szCs w:val="24"/>
                <w:lang w:eastAsia="zh-CN"/>
              </w:rPr>
              <w:t>况的按要求扣分。</w:t>
            </w:r>
          </w:p>
        </w:tc>
        <w:tc>
          <w:tcPr>
            <w:tcW w:w="1086" w:type="dxa"/>
          </w:tcPr>
          <w:p>
            <w:pPr>
              <w:pStyle w:val="78"/>
              <w:ind w:left="182" w:right="171"/>
              <w:jc w:val="center"/>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80" w:type="dxa"/>
            <w:vMerge w:val="continue"/>
            <w:vAlign w:val="center"/>
          </w:tcPr>
          <w:p>
            <w:pPr>
              <w:pStyle w:val="78"/>
              <w:ind w:left="8"/>
              <w:jc w:val="center"/>
              <w:rPr>
                <w:rFonts w:ascii="宋体" w:hAnsi="宋体" w:eastAsia="宋体" w:cs="宋体"/>
                <w:bCs/>
                <w:sz w:val="24"/>
                <w:szCs w:val="24"/>
                <w:lang w:val="en-US"/>
              </w:rPr>
            </w:pPr>
          </w:p>
        </w:tc>
        <w:tc>
          <w:tcPr>
            <w:tcW w:w="1405" w:type="dxa"/>
            <w:vMerge w:val="continue"/>
            <w:vAlign w:val="center"/>
          </w:tcPr>
          <w:p>
            <w:pPr>
              <w:pStyle w:val="78"/>
              <w:ind w:left="107"/>
              <w:rPr>
                <w:rFonts w:ascii="宋体" w:hAnsi="宋体" w:eastAsia="宋体" w:cs="宋体"/>
                <w:bCs/>
                <w:sz w:val="24"/>
                <w:szCs w:val="24"/>
              </w:rPr>
            </w:pPr>
          </w:p>
        </w:tc>
        <w:tc>
          <w:tcPr>
            <w:tcW w:w="539" w:type="dxa"/>
            <w:vMerge w:val="continue"/>
            <w:vAlign w:val="center"/>
          </w:tcPr>
          <w:p>
            <w:pPr>
              <w:pStyle w:val="78"/>
              <w:ind w:left="107"/>
              <w:rPr>
                <w:rFonts w:ascii="宋体" w:hAnsi="宋体" w:eastAsia="宋体" w:cs="宋体"/>
                <w:bCs/>
                <w:sz w:val="24"/>
                <w:szCs w:val="24"/>
                <w:lang w:val="en-US"/>
              </w:rPr>
            </w:pPr>
          </w:p>
        </w:tc>
        <w:tc>
          <w:tcPr>
            <w:tcW w:w="6184" w:type="dxa"/>
            <w:vAlign w:val="center"/>
          </w:tcPr>
          <w:p>
            <w:pPr>
              <w:pStyle w:val="78"/>
              <w:ind w:left="107"/>
              <w:rPr>
                <w:rFonts w:ascii="宋体" w:hAnsi="宋体" w:eastAsia="宋体" w:cs="宋体"/>
                <w:bCs/>
                <w:sz w:val="24"/>
                <w:szCs w:val="24"/>
                <w:lang w:val="en-US"/>
              </w:rPr>
            </w:pPr>
            <w:r>
              <w:rPr>
                <w:rFonts w:hint="eastAsia" w:ascii="宋体" w:hAnsi="宋体" w:eastAsia="宋体" w:cs="宋体"/>
                <w:bCs/>
                <w:sz w:val="24"/>
                <w:szCs w:val="24"/>
              </w:rPr>
              <w:t>根据供应商针对本项目提供的质量管理体系与措施进行评审：①质量管理组织体系；②材料质量检查制度；③施工质量的自查与改进制度。各项内容为专门针对本项目编制，符合本项目实际情况，能够保障项目顺利实施的得</w:t>
            </w:r>
            <w:r>
              <w:rPr>
                <w:rFonts w:ascii="宋体" w:hAnsi="宋体" w:eastAsia="宋体" w:cs="宋体"/>
                <w:bCs/>
                <w:sz w:val="24"/>
                <w:szCs w:val="24"/>
              </w:rPr>
              <w:t>9</w:t>
            </w:r>
            <w:r>
              <w:rPr>
                <w:rFonts w:hint="eastAsia" w:ascii="宋体" w:hAnsi="宋体" w:eastAsia="宋体" w:cs="宋体"/>
                <w:bCs/>
                <w:sz w:val="24"/>
                <w:szCs w:val="24"/>
              </w:rPr>
              <w:t>分；每缺少一项内容或该项内容非专门针对本项目或内容不符合本项目实际情况的，每有一项扣</w:t>
            </w:r>
            <w:r>
              <w:rPr>
                <w:rFonts w:ascii="宋体" w:hAnsi="宋体" w:eastAsia="宋体" w:cs="宋体"/>
                <w:bCs/>
                <w:sz w:val="24"/>
                <w:szCs w:val="24"/>
                <w:lang w:val="en-US"/>
              </w:rPr>
              <w:t>3</w:t>
            </w:r>
            <w:r>
              <w:rPr>
                <w:rFonts w:hint="eastAsia" w:ascii="宋体" w:hAnsi="宋体" w:eastAsia="宋体" w:cs="宋体"/>
                <w:bCs/>
                <w:sz w:val="24"/>
                <w:szCs w:val="24"/>
              </w:rPr>
              <w:t>分，扣完为止。</w:t>
            </w:r>
          </w:p>
        </w:tc>
        <w:tc>
          <w:tcPr>
            <w:tcW w:w="1086" w:type="dxa"/>
          </w:tcPr>
          <w:p>
            <w:pPr>
              <w:pStyle w:val="78"/>
              <w:ind w:left="182" w:right="171"/>
              <w:jc w:val="center"/>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80" w:type="dxa"/>
            <w:vMerge w:val="continue"/>
            <w:vAlign w:val="center"/>
          </w:tcPr>
          <w:p>
            <w:pPr>
              <w:pStyle w:val="78"/>
              <w:ind w:left="8"/>
              <w:jc w:val="center"/>
              <w:rPr>
                <w:rFonts w:ascii="宋体" w:hAnsi="宋体" w:eastAsia="宋体" w:cs="宋体"/>
                <w:bCs/>
                <w:sz w:val="24"/>
                <w:szCs w:val="24"/>
                <w:lang w:val="en-US"/>
              </w:rPr>
            </w:pPr>
          </w:p>
        </w:tc>
        <w:tc>
          <w:tcPr>
            <w:tcW w:w="1405" w:type="dxa"/>
            <w:vMerge w:val="continue"/>
            <w:vAlign w:val="center"/>
          </w:tcPr>
          <w:p>
            <w:pPr>
              <w:pStyle w:val="78"/>
              <w:ind w:left="107"/>
              <w:rPr>
                <w:rFonts w:ascii="宋体" w:hAnsi="宋体" w:eastAsia="宋体" w:cs="宋体"/>
                <w:bCs/>
                <w:sz w:val="24"/>
                <w:szCs w:val="24"/>
              </w:rPr>
            </w:pPr>
          </w:p>
        </w:tc>
        <w:tc>
          <w:tcPr>
            <w:tcW w:w="539" w:type="dxa"/>
            <w:vMerge w:val="continue"/>
            <w:vAlign w:val="center"/>
          </w:tcPr>
          <w:p>
            <w:pPr>
              <w:pStyle w:val="78"/>
              <w:ind w:left="107"/>
              <w:rPr>
                <w:rFonts w:ascii="宋体" w:hAnsi="宋体" w:eastAsia="宋体" w:cs="宋体"/>
                <w:bCs/>
                <w:sz w:val="24"/>
                <w:szCs w:val="24"/>
                <w:lang w:val="en-US"/>
              </w:rPr>
            </w:pPr>
          </w:p>
        </w:tc>
        <w:tc>
          <w:tcPr>
            <w:tcW w:w="6184" w:type="dxa"/>
            <w:vAlign w:val="center"/>
          </w:tcPr>
          <w:p>
            <w:pPr>
              <w:pStyle w:val="78"/>
              <w:ind w:left="107"/>
              <w:rPr>
                <w:rFonts w:ascii="宋体" w:hAnsi="宋体" w:eastAsia="宋体" w:cs="宋体"/>
                <w:bCs/>
                <w:sz w:val="24"/>
                <w:szCs w:val="24"/>
                <w:lang w:val="en-US"/>
              </w:rPr>
            </w:pPr>
            <w:r>
              <w:rPr>
                <w:rFonts w:hint="eastAsia" w:ascii="宋体" w:hAnsi="宋体" w:eastAsia="宋体" w:cs="宋体"/>
                <w:bCs/>
                <w:sz w:val="24"/>
                <w:szCs w:val="24"/>
              </w:rPr>
              <w:t>根据供应商针对本项目提供的安全文明施工管理体系与措施进行评审：①安全保证体系；②安全责任体系；③安全管理制度；④文明施工组织措施；⑤材料临时堆放与保护措施；⑥安全应急救援预案。各项内容为专门针对本项目编制，符合本项目实际情况，能够保障项目顺利实施的得</w:t>
            </w:r>
            <w:r>
              <w:rPr>
                <w:rFonts w:ascii="宋体" w:hAnsi="宋体" w:eastAsia="宋体" w:cs="宋体"/>
                <w:bCs/>
                <w:sz w:val="24"/>
                <w:szCs w:val="24"/>
              </w:rPr>
              <w:t>12</w:t>
            </w:r>
            <w:r>
              <w:rPr>
                <w:rFonts w:hint="eastAsia" w:ascii="宋体" w:hAnsi="宋体" w:eastAsia="宋体" w:cs="宋体"/>
                <w:bCs/>
                <w:sz w:val="24"/>
                <w:szCs w:val="24"/>
              </w:rPr>
              <w:t>分；每缺少一项内容或该项内容非专门针对本项目或内容不符合本项目实际情况的，每有一项扣</w:t>
            </w:r>
            <w:r>
              <w:rPr>
                <w:rFonts w:ascii="宋体" w:hAnsi="宋体" w:eastAsia="宋体" w:cs="宋体"/>
                <w:bCs/>
                <w:sz w:val="24"/>
                <w:szCs w:val="24"/>
              </w:rPr>
              <w:t>2</w:t>
            </w:r>
            <w:r>
              <w:rPr>
                <w:rFonts w:hint="eastAsia" w:ascii="宋体" w:hAnsi="宋体" w:eastAsia="宋体" w:cs="宋体"/>
                <w:bCs/>
                <w:sz w:val="24"/>
                <w:szCs w:val="24"/>
              </w:rPr>
              <w:t>分，扣完为止。</w:t>
            </w:r>
          </w:p>
        </w:tc>
        <w:tc>
          <w:tcPr>
            <w:tcW w:w="1086" w:type="dxa"/>
          </w:tcPr>
          <w:p>
            <w:pPr>
              <w:pStyle w:val="78"/>
              <w:ind w:left="182" w:right="171"/>
              <w:jc w:val="center"/>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80" w:type="dxa"/>
            <w:vMerge w:val="continue"/>
            <w:vAlign w:val="center"/>
          </w:tcPr>
          <w:p>
            <w:pPr>
              <w:pStyle w:val="78"/>
              <w:ind w:left="8"/>
              <w:jc w:val="center"/>
              <w:rPr>
                <w:rFonts w:ascii="宋体" w:hAnsi="宋体" w:eastAsia="宋体" w:cs="宋体"/>
                <w:bCs/>
                <w:sz w:val="24"/>
                <w:szCs w:val="24"/>
                <w:lang w:val="en-US"/>
              </w:rPr>
            </w:pPr>
          </w:p>
        </w:tc>
        <w:tc>
          <w:tcPr>
            <w:tcW w:w="1405" w:type="dxa"/>
            <w:vMerge w:val="continue"/>
            <w:vAlign w:val="center"/>
          </w:tcPr>
          <w:p>
            <w:pPr>
              <w:pStyle w:val="78"/>
              <w:ind w:left="107"/>
              <w:rPr>
                <w:rFonts w:ascii="宋体" w:hAnsi="宋体" w:eastAsia="宋体" w:cs="宋体"/>
                <w:bCs/>
                <w:sz w:val="24"/>
                <w:szCs w:val="24"/>
              </w:rPr>
            </w:pPr>
          </w:p>
        </w:tc>
        <w:tc>
          <w:tcPr>
            <w:tcW w:w="539" w:type="dxa"/>
            <w:vMerge w:val="continue"/>
            <w:vAlign w:val="center"/>
          </w:tcPr>
          <w:p>
            <w:pPr>
              <w:pStyle w:val="78"/>
              <w:ind w:left="107"/>
              <w:rPr>
                <w:rFonts w:ascii="宋体" w:hAnsi="宋体" w:eastAsia="宋体" w:cs="宋体"/>
                <w:bCs/>
                <w:sz w:val="24"/>
                <w:szCs w:val="24"/>
                <w:lang w:val="en-US"/>
              </w:rPr>
            </w:pPr>
          </w:p>
        </w:tc>
        <w:tc>
          <w:tcPr>
            <w:tcW w:w="6184" w:type="dxa"/>
            <w:vAlign w:val="center"/>
          </w:tcPr>
          <w:p>
            <w:pPr>
              <w:pStyle w:val="78"/>
              <w:ind w:left="107"/>
              <w:rPr>
                <w:rFonts w:ascii="宋体" w:hAnsi="宋体" w:eastAsia="宋体" w:cs="宋体"/>
                <w:bCs/>
                <w:sz w:val="24"/>
                <w:szCs w:val="24"/>
                <w:lang w:val="en-US"/>
              </w:rPr>
            </w:pPr>
            <w:r>
              <w:rPr>
                <w:rFonts w:hint="eastAsia" w:ascii="宋体" w:hAnsi="宋体" w:eastAsia="宋体" w:cs="宋体"/>
                <w:bCs/>
                <w:sz w:val="24"/>
                <w:szCs w:val="24"/>
              </w:rPr>
              <w:t>根据供应商针对本项目提供的环境保护管理体系与措施进行评审：①环境保护管理体系；②污染物处理、扬尘处理、噪音控制；③建筑垃圾处理、废弃物处理。各项内容为专门针对本项目编制，符合本项目实际情况，能够保障项目顺利实施的得6分；每缺少一项内容或该项内容非专门针对本项目或内容不符合本项目实际情况的，每有一项扣2分，扣完为止。</w:t>
            </w:r>
          </w:p>
        </w:tc>
        <w:tc>
          <w:tcPr>
            <w:tcW w:w="1086" w:type="dxa"/>
          </w:tcPr>
          <w:p>
            <w:pPr>
              <w:pStyle w:val="78"/>
              <w:ind w:left="182" w:right="171"/>
              <w:jc w:val="center"/>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80" w:type="dxa"/>
            <w:vAlign w:val="center"/>
          </w:tcPr>
          <w:p>
            <w:pPr>
              <w:jc w:val="center"/>
              <w:rPr>
                <w:rFonts w:hAnsi="宋体" w:cs="宋体"/>
                <w:bCs/>
                <w:sz w:val="24"/>
                <w:szCs w:val="24"/>
              </w:rPr>
            </w:pPr>
            <w:r>
              <w:rPr>
                <w:rFonts w:hint="eastAsia" w:hAnsi="宋体" w:cs="宋体"/>
                <w:bCs/>
                <w:sz w:val="24"/>
                <w:szCs w:val="24"/>
              </w:rPr>
              <w:t>3</w:t>
            </w:r>
          </w:p>
        </w:tc>
        <w:tc>
          <w:tcPr>
            <w:tcW w:w="1405" w:type="dxa"/>
            <w:vAlign w:val="center"/>
          </w:tcPr>
          <w:p>
            <w:pPr>
              <w:jc w:val="center"/>
              <w:rPr>
                <w:rFonts w:hAnsi="宋体" w:cs="宋体"/>
                <w:bCs/>
                <w:sz w:val="24"/>
                <w:szCs w:val="24"/>
              </w:rPr>
            </w:pPr>
            <w:r>
              <w:rPr>
                <w:rFonts w:hint="eastAsia" w:hAnsi="宋体" w:cs="宋体"/>
                <w:bCs/>
                <w:sz w:val="24"/>
                <w:szCs w:val="24"/>
              </w:rPr>
              <w:t>质量保障</w:t>
            </w:r>
          </w:p>
          <w:p>
            <w:pPr>
              <w:jc w:val="center"/>
              <w:rPr>
                <w:rFonts w:hAnsi="宋体" w:cs="宋体"/>
                <w:bCs/>
                <w:sz w:val="24"/>
                <w:szCs w:val="24"/>
              </w:rPr>
            </w:pPr>
          </w:p>
        </w:tc>
        <w:tc>
          <w:tcPr>
            <w:tcW w:w="539" w:type="dxa"/>
            <w:vAlign w:val="center"/>
          </w:tcPr>
          <w:p>
            <w:pPr>
              <w:jc w:val="center"/>
              <w:rPr>
                <w:rFonts w:hAnsi="宋体" w:cs="宋体"/>
                <w:bCs/>
                <w:sz w:val="24"/>
                <w:szCs w:val="24"/>
              </w:rPr>
            </w:pPr>
            <w:r>
              <w:rPr>
                <w:rFonts w:hAnsi="宋体" w:cs="宋体"/>
                <w:bCs/>
                <w:sz w:val="24"/>
                <w:szCs w:val="24"/>
              </w:rPr>
              <w:t>6</w:t>
            </w:r>
            <w:r>
              <w:rPr>
                <w:rFonts w:hint="eastAsia" w:hAnsi="宋体" w:cs="宋体"/>
                <w:bCs/>
                <w:sz w:val="24"/>
                <w:szCs w:val="24"/>
              </w:rPr>
              <w:t>分</w:t>
            </w:r>
          </w:p>
        </w:tc>
        <w:tc>
          <w:tcPr>
            <w:tcW w:w="6184" w:type="dxa"/>
            <w:vAlign w:val="center"/>
          </w:tcPr>
          <w:p>
            <w:pPr>
              <w:rPr>
                <w:rFonts w:hAnsi="宋体" w:cs="宋体"/>
                <w:bCs/>
                <w:sz w:val="24"/>
                <w:szCs w:val="24"/>
              </w:rPr>
            </w:pPr>
            <w:r>
              <w:rPr>
                <w:rFonts w:hint="eastAsia" w:hAnsi="宋体" w:cs="宋体"/>
                <w:bCs/>
                <w:sz w:val="24"/>
                <w:szCs w:val="24"/>
              </w:rPr>
              <w:t>根据供应商提供的施工组织方案中的质量保证措施：</w:t>
            </w:r>
          </w:p>
          <w:p>
            <w:pPr>
              <w:tabs>
                <w:tab w:val="left" w:pos="312"/>
              </w:tabs>
              <w:rPr>
                <w:rFonts w:hAnsi="宋体" w:cs="宋体"/>
                <w:bCs/>
                <w:sz w:val="24"/>
                <w:szCs w:val="24"/>
              </w:rPr>
            </w:pPr>
            <w:r>
              <w:rPr>
                <w:rFonts w:hint="eastAsia" w:hAnsi="宋体" w:cs="宋体"/>
                <w:bCs/>
                <w:sz w:val="24"/>
                <w:szCs w:val="24"/>
              </w:rPr>
              <w:t>符合国家对工程建设项目相关验收年限要求，后期维护及时迅速（24小时以内完成维修更换的）得</w:t>
            </w:r>
            <w:r>
              <w:rPr>
                <w:rFonts w:hAnsi="宋体" w:cs="宋体"/>
                <w:bCs/>
                <w:sz w:val="24"/>
                <w:szCs w:val="24"/>
              </w:rPr>
              <w:t>3</w:t>
            </w:r>
            <w:r>
              <w:rPr>
                <w:rFonts w:hint="eastAsia" w:hAnsi="宋体" w:cs="宋体"/>
                <w:bCs/>
                <w:sz w:val="24"/>
                <w:szCs w:val="24"/>
              </w:rPr>
              <w:t>分，每承诺完成维修少于三个小时的加1分，最多加3分。</w:t>
            </w:r>
          </w:p>
        </w:tc>
        <w:tc>
          <w:tcPr>
            <w:tcW w:w="1086" w:type="dxa"/>
          </w:tcPr>
          <w:p>
            <w:pPr>
              <w:pStyle w:val="78"/>
              <w:ind w:left="182" w:right="171"/>
              <w:jc w:val="center"/>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80" w:type="dxa"/>
            <w:vAlign w:val="center"/>
          </w:tcPr>
          <w:p>
            <w:pPr>
              <w:pStyle w:val="78"/>
              <w:jc w:val="center"/>
              <w:rPr>
                <w:rFonts w:ascii="宋体" w:hAnsi="宋体" w:eastAsia="宋体" w:cs="宋体"/>
                <w:bCs/>
                <w:sz w:val="24"/>
                <w:szCs w:val="24"/>
              </w:rPr>
            </w:pPr>
          </w:p>
          <w:p>
            <w:pPr>
              <w:pStyle w:val="78"/>
              <w:ind w:left="8"/>
              <w:jc w:val="center"/>
              <w:rPr>
                <w:rFonts w:ascii="宋体" w:hAnsi="宋体" w:eastAsia="宋体" w:cs="宋体"/>
                <w:bCs/>
                <w:sz w:val="24"/>
                <w:szCs w:val="24"/>
              </w:rPr>
            </w:pPr>
            <w:r>
              <w:rPr>
                <w:rFonts w:hint="eastAsia" w:ascii="宋体" w:hAnsi="宋体" w:eastAsia="宋体" w:cs="宋体"/>
                <w:bCs/>
                <w:sz w:val="24"/>
                <w:szCs w:val="24"/>
                <w:lang w:val="en-US"/>
              </w:rPr>
              <w:t>4</w:t>
            </w:r>
          </w:p>
        </w:tc>
        <w:tc>
          <w:tcPr>
            <w:tcW w:w="1405" w:type="dxa"/>
            <w:vAlign w:val="center"/>
          </w:tcPr>
          <w:p>
            <w:pPr>
              <w:pStyle w:val="78"/>
              <w:ind w:left="580" w:right="212" w:hanging="360"/>
              <w:rPr>
                <w:rFonts w:hint="eastAsia" w:ascii="宋体" w:hAnsi="宋体" w:eastAsia="宋体" w:cs="宋体"/>
                <w:bCs/>
                <w:sz w:val="24"/>
                <w:szCs w:val="24"/>
                <w:lang w:val="en-US" w:eastAsia="zh-CN"/>
              </w:rPr>
            </w:pPr>
            <w:r>
              <w:rPr>
                <w:rFonts w:hint="eastAsia" w:ascii="宋体" w:hAnsi="宋体" w:eastAsia="宋体" w:cs="宋体"/>
                <w:bCs/>
                <w:sz w:val="24"/>
                <w:szCs w:val="24"/>
              </w:rPr>
              <w:t>类似业</w:t>
            </w:r>
            <w:r>
              <w:rPr>
                <w:rFonts w:hint="eastAsia" w:ascii="宋体" w:hAnsi="宋体" w:eastAsia="宋体" w:cs="宋体"/>
                <w:bCs/>
                <w:sz w:val="24"/>
                <w:szCs w:val="24"/>
                <w:lang w:eastAsia="zh-CN"/>
              </w:rPr>
              <w:t>绩</w:t>
            </w:r>
          </w:p>
        </w:tc>
        <w:tc>
          <w:tcPr>
            <w:tcW w:w="539" w:type="dxa"/>
            <w:vAlign w:val="center"/>
          </w:tcPr>
          <w:p>
            <w:pPr>
              <w:pStyle w:val="78"/>
              <w:jc w:val="center"/>
              <w:rPr>
                <w:rFonts w:ascii="宋体" w:hAnsi="宋体" w:eastAsia="宋体" w:cs="宋体"/>
                <w:bCs/>
                <w:sz w:val="24"/>
                <w:szCs w:val="24"/>
              </w:rPr>
            </w:pPr>
            <w:r>
              <w:rPr>
                <w:rFonts w:hint="eastAsia" w:ascii="宋体" w:hAnsi="宋体" w:eastAsia="宋体" w:cs="宋体"/>
                <w:bCs/>
                <w:sz w:val="24"/>
                <w:szCs w:val="24"/>
              </w:rPr>
              <w:t>9分</w:t>
            </w:r>
          </w:p>
        </w:tc>
        <w:tc>
          <w:tcPr>
            <w:tcW w:w="6184" w:type="dxa"/>
          </w:tcPr>
          <w:p>
            <w:pPr>
              <w:pStyle w:val="78"/>
              <w:ind w:left="107"/>
              <w:rPr>
                <w:rFonts w:ascii="宋体" w:hAnsi="宋体" w:eastAsia="宋体" w:cs="宋体"/>
                <w:bCs/>
                <w:sz w:val="24"/>
                <w:szCs w:val="24"/>
              </w:rPr>
            </w:pPr>
            <w:r>
              <w:rPr>
                <w:rFonts w:hint="eastAsia" w:ascii="宋体" w:hAnsi="宋体" w:eastAsia="宋体" w:cs="宋体"/>
                <w:bCs/>
                <w:sz w:val="24"/>
                <w:szCs w:val="24"/>
              </w:rPr>
              <w:t>供应商具有近三年类似项目业绩的，每具有 1 个得 3 分，最多得9 分。（提供协议或合同复印件予以佐证，不提供或不满足不得分）</w:t>
            </w:r>
          </w:p>
        </w:tc>
        <w:tc>
          <w:tcPr>
            <w:tcW w:w="1086" w:type="dxa"/>
          </w:tcPr>
          <w:p>
            <w:pPr>
              <w:pStyle w:val="78"/>
              <w:ind w:left="182" w:right="171"/>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80" w:type="dxa"/>
            <w:vAlign w:val="center"/>
          </w:tcPr>
          <w:p>
            <w:pPr>
              <w:pStyle w:val="78"/>
              <w:jc w:val="center"/>
              <w:rPr>
                <w:rFonts w:ascii="宋体" w:hAnsi="宋体" w:eastAsia="宋体" w:cs="宋体"/>
                <w:bCs/>
                <w:sz w:val="24"/>
                <w:szCs w:val="24"/>
              </w:rPr>
            </w:pPr>
          </w:p>
          <w:p>
            <w:pPr>
              <w:pStyle w:val="78"/>
              <w:ind w:left="37"/>
              <w:jc w:val="center"/>
              <w:rPr>
                <w:rFonts w:ascii="宋体" w:hAnsi="宋体" w:eastAsia="宋体" w:cs="宋体"/>
                <w:bCs/>
                <w:sz w:val="24"/>
                <w:szCs w:val="24"/>
              </w:rPr>
            </w:pPr>
            <w:r>
              <w:rPr>
                <w:rFonts w:hint="eastAsia" w:ascii="宋体" w:hAnsi="宋体" w:eastAsia="宋体" w:cs="宋体"/>
                <w:bCs/>
                <w:sz w:val="24"/>
                <w:szCs w:val="24"/>
                <w:lang w:val="en-US"/>
              </w:rPr>
              <w:t>5</w:t>
            </w:r>
          </w:p>
        </w:tc>
        <w:tc>
          <w:tcPr>
            <w:tcW w:w="1405" w:type="dxa"/>
            <w:vAlign w:val="center"/>
          </w:tcPr>
          <w:p>
            <w:pPr>
              <w:spacing w:line="360" w:lineRule="auto"/>
              <w:jc w:val="center"/>
              <w:rPr>
                <w:rFonts w:hAnsi="宋体" w:cs="宋体"/>
                <w:sz w:val="24"/>
                <w:szCs w:val="24"/>
              </w:rPr>
            </w:pPr>
            <w:r>
              <w:rPr>
                <w:rFonts w:hint="eastAsia" w:hAnsi="宋体" w:cs="宋体"/>
                <w:sz w:val="24"/>
                <w:szCs w:val="24"/>
              </w:rPr>
              <w:t>人员配置</w:t>
            </w:r>
          </w:p>
          <w:p>
            <w:pPr>
              <w:pStyle w:val="2"/>
              <w:spacing w:after="0"/>
              <w:jc w:val="center"/>
              <w:rPr>
                <w:rFonts w:ascii="宋体" w:hAnsi="宋体" w:cs="宋体"/>
                <w:sz w:val="24"/>
                <w:szCs w:val="24"/>
              </w:rPr>
            </w:pPr>
          </w:p>
        </w:tc>
        <w:tc>
          <w:tcPr>
            <w:tcW w:w="539"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7分</w:t>
            </w:r>
          </w:p>
        </w:tc>
        <w:tc>
          <w:tcPr>
            <w:tcW w:w="6184" w:type="dxa"/>
            <w:vAlign w:val="center"/>
          </w:tcPr>
          <w:p>
            <w:pPr>
              <w:pStyle w:val="2"/>
              <w:spacing w:after="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项目负责人：具有二级建造师（建筑）的得1分，具有中级及以上职称的得1分；</w:t>
            </w:r>
          </w:p>
          <w:p>
            <w:pPr>
              <w:pStyle w:val="9"/>
              <w:snapToGrid w:val="0"/>
              <w:spacing w:line="360" w:lineRule="auto"/>
              <w:textAlignment w:val="baseline"/>
              <w:rPr>
                <w:rFonts w:hAnsi="宋体" w:cs="宋体"/>
                <w:sz w:val="24"/>
                <w:szCs w:val="24"/>
              </w:rPr>
            </w:pPr>
            <w:r>
              <w:rPr>
                <w:rFonts w:hint="eastAsia" w:hAnsi="宋体" w:cs="宋体"/>
                <w:sz w:val="24"/>
                <w:szCs w:val="24"/>
              </w:rPr>
              <w:t>其他人员：施工员、质量员、安全员、造价员、资料员配备齐全的得5分，缺少一名扣1分，扣完为止。</w:t>
            </w:r>
          </w:p>
          <w:p>
            <w:pPr>
              <w:adjustRightInd w:val="0"/>
              <w:snapToGrid w:val="0"/>
              <w:spacing w:line="360" w:lineRule="auto"/>
              <w:rPr>
                <w:rFonts w:hAnsi="宋体" w:cs="宋体"/>
                <w:bCs/>
                <w:color w:val="000000" w:themeColor="text1"/>
                <w:sz w:val="24"/>
                <w:szCs w:val="24"/>
                <w14:textFill>
                  <w14:solidFill>
                    <w14:schemeClr w14:val="tx1"/>
                  </w14:solidFill>
                </w14:textFill>
              </w:rPr>
            </w:pPr>
            <w:r>
              <w:rPr>
                <w:rFonts w:hint="eastAsia" w:hAnsi="宋体" w:cs="宋体"/>
                <w:kern w:val="2"/>
                <w:sz w:val="24"/>
                <w:szCs w:val="24"/>
              </w:rPr>
              <w:t>注：以上人员不重复计算，提供与所投单位签订的劳动关系证明材料复印件和有效证书复印件并加盖供应商鲜章。</w:t>
            </w:r>
          </w:p>
        </w:tc>
        <w:tc>
          <w:tcPr>
            <w:tcW w:w="1086" w:type="dxa"/>
          </w:tcPr>
          <w:p>
            <w:pPr>
              <w:pStyle w:val="78"/>
              <w:ind w:left="182" w:right="171"/>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80" w:type="dxa"/>
            <w:vAlign w:val="center"/>
          </w:tcPr>
          <w:p>
            <w:pPr>
              <w:pStyle w:val="78"/>
              <w:ind w:left="37"/>
              <w:jc w:val="center"/>
              <w:rPr>
                <w:rFonts w:ascii="宋体" w:hAnsi="宋体" w:eastAsia="宋体" w:cs="宋体"/>
                <w:bCs/>
                <w:sz w:val="24"/>
                <w:szCs w:val="24"/>
                <w:lang w:val="en-US"/>
              </w:rPr>
            </w:pPr>
            <w:r>
              <w:rPr>
                <w:rFonts w:hint="eastAsia" w:ascii="宋体" w:hAnsi="宋体" w:eastAsia="宋体" w:cs="宋体"/>
                <w:bCs/>
                <w:sz w:val="24"/>
                <w:szCs w:val="24"/>
                <w:lang w:val="en-US"/>
              </w:rPr>
              <w:t>6</w:t>
            </w:r>
          </w:p>
        </w:tc>
        <w:tc>
          <w:tcPr>
            <w:tcW w:w="1405" w:type="dxa"/>
            <w:vAlign w:val="center"/>
          </w:tcPr>
          <w:p>
            <w:pPr>
              <w:pStyle w:val="78"/>
              <w:ind w:left="220" w:right="212"/>
              <w:jc w:val="center"/>
              <w:rPr>
                <w:rFonts w:ascii="宋体" w:hAnsi="宋体" w:eastAsia="宋体" w:cs="宋体"/>
                <w:bCs/>
                <w:sz w:val="24"/>
                <w:szCs w:val="24"/>
              </w:rPr>
            </w:pPr>
            <w:r>
              <w:rPr>
                <w:rFonts w:hint="eastAsia" w:ascii="宋体" w:hAnsi="宋体" w:eastAsia="宋体" w:cs="宋体"/>
                <w:bCs/>
                <w:sz w:val="24"/>
                <w:szCs w:val="24"/>
              </w:rPr>
              <w:t>响应文件的规范性</w:t>
            </w:r>
          </w:p>
          <w:p>
            <w:pPr>
              <w:pStyle w:val="78"/>
              <w:ind w:left="218" w:right="212"/>
              <w:jc w:val="center"/>
              <w:rPr>
                <w:rFonts w:ascii="宋体" w:hAnsi="宋体" w:eastAsia="宋体" w:cs="宋体"/>
                <w:bCs/>
                <w:sz w:val="24"/>
                <w:szCs w:val="24"/>
              </w:rPr>
            </w:pPr>
          </w:p>
        </w:tc>
        <w:tc>
          <w:tcPr>
            <w:tcW w:w="539" w:type="dxa"/>
            <w:vAlign w:val="center"/>
          </w:tcPr>
          <w:p>
            <w:pPr>
              <w:pStyle w:val="78"/>
              <w:jc w:val="center"/>
              <w:rPr>
                <w:rFonts w:ascii="宋体" w:hAnsi="宋体" w:eastAsia="宋体" w:cs="宋体"/>
                <w:bCs/>
                <w:sz w:val="24"/>
                <w:szCs w:val="24"/>
              </w:rPr>
            </w:pPr>
            <w:r>
              <w:rPr>
                <w:rFonts w:hint="eastAsia" w:ascii="宋体" w:hAnsi="宋体" w:eastAsia="宋体" w:cs="宋体"/>
                <w:bCs/>
                <w:sz w:val="24"/>
                <w:szCs w:val="24"/>
              </w:rPr>
              <w:t>3分</w:t>
            </w:r>
          </w:p>
        </w:tc>
        <w:tc>
          <w:tcPr>
            <w:tcW w:w="6184" w:type="dxa"/>
          </w:tcPr>
          <w:p>
            <w:pPr>
              <w:pStyle w:val="78"/>
              <w:ind w:left="107" w:right="95"/>
              <w:rPr>
                <w:rFonts w:ascii="宋体" w:hAnsi="宋体" w:eastAsia="宋体" w:cs="宋体"/>
                <w:bCs/>
                <w:sz w:val="24"/>
                <w:szCs w:val="24"/>
              </w:rPr>
            </w:pPr>
            <w:r>
              <w:rPr>
                <w:rFonts w:hint="eastAsia" w:ascii="宋体" w:hAnsi="宋体" w:eastAsia="宋体" w:cs="宋体"/>
                <w:bCs/>
                <w:sz w:val="24"/>
                <w:szCs w:val="24"/>
              </w:rPr>
              <w:t>响应文件制作规范，有目录、页码，响应文件按评分表中的项目次序归类装订，没有偏差情形的得 3 分；每有一项细微偏差扣0.5分，直至该项分值扣完为止。</w:t>
            </w:r>
          </w:p>
        </w:tc>
        <w:tc>
          <w:tcPr>
            <w:tcW w:w="1086" w:type="dxa"/>
          </w:tcPr>
          <w:p>
            <w:pPr>
              <w:pStyle w:val="78"/>
              <w:ind w:left="182" w:right="171"/>
              <w:rPr>
                <w:rFonts w:ascii="宋体" w:hAnsi="宋体" w:eastAsia="宋体" w:cs="宋体"/>
                <w:bCs/>
                <w:sz w:val="24"/>
                <w:szCs w:val="24"/>
              </w:rPr>
            </w:pPr>
          </w:p>
        </w:tc>
      </w:tr>
      <w:bookmarkEnd w:id="41"/>
      <w:bookmarkEnd w:id="42"/>
    </w:tbl>
    <w:p>
      <w:pPr>
        <w:rPr>
          <w:rFonts w:hAnsi="宋体" w:cs="宋体"/>
          <w:sz w:val="30"/>
          <w:szCs w:val="30"/>
        </w:rPr>
      </w:pPr>
    </w:p>
    <w:p>
      <w:pPr>
        <w:pStyle w:val="2"/>
        <w:rPr>
          <w:rFonts w:hAnsi="宋体" w:cs="宋体"/>
          <w:sz w:val="30"/>
          <w:szCs w:val="30"/>
        </w:rPr>
      </w:pPr>
    </w:p>
    <w:p>
      <w:pPr>
        <w:rPr>
          <w:rFonts w:hAnsi="宋体" w:cs="宋体"/>
          <w:sz w:val="30"/>
          <w:szCs w:val="30"/>
        </w:rPr>
      </w:pPr>
    </w:p>
    <w:p>
      <w:pPr>
        <w:pStyle w:val="2"/>
        <w:rPr>
          <w:rFonts w:hAnsi="宋体" w:cs="宋体"/>
          <w:sz w:val="30"/>
          <w:szCs w:val="30"/>
        </w:rPr>
      </w:pPr>
    </w:p>
    <w:p>
      <w:pPr>
        <w:numPr>
          <w:ilvl w:val="0"/>
          <w:numId w:val="0"/>
        </w:numPr>
        <w:jc w:val="center"/>
        <w:rPr>
          <w:rFonts w:hint="eastAsia" w:hAnsi="宋体" w:cs="宋体"/>
          <w:sz w:val="36"/>
          <w:szCs w:val="36"/>
          <w:lang w:val="en-US" w:eastAsia="zh-CN"/>
        </w:rPr>
      </w:pPr>
    </w:p>
    <w:p>
      <w:pPr>
        <w:numPr>
          <w:ilvl w:val="0"/>
          <w:numId w:val="0"/>
        </w:numPr>
        <w:jc w:val="center"/>
        <w:rPr>
          <w:rFonts w:hint="eastAsia" w:hAnsi="宋体" w:cs="宋体"/>
          <w:sz w:val="36"/>
          <w:szCs w:val="36"/>
          <w:lang w:val="en-US" w:eastAsia="zh-CN"/>
        </w:rPr>
      </w:pPr>
      <w:r>
        <w:rPr>
          <w:rFonts w:hint="eastAsia" w:hAnsi="宋体" w:cs="宋体"/>
          <w:sz w:val="36"/>
          <w:szCs w:val="36"/>
          <w:lang w:val="en-US" w:eastAsia="zh-CN"/>
        </w:rPr>
        <w:t>第六章 合同主要条款</w:t>
      </w:r>
    </w:p>
    <w:p>
      <w:pPr>
        <w:pStyle w:val="2"/>
        <w:numPr>
          <w:ilvl w:val="0"/>
          <w:numId w:val="0"/>
        </w:numPr>
        <w:jc w:val="center"/>
        <w:rPr>
          <w:rFonts w:hint="default"/>
          <w:lang w:val="en-US" w:eastAsia="zh-CN"/>
        </w:rPr>
      </w:pPr>
      <w:r>
        <w:rPr>
          <w:rFonts w:hint="eastAsia"/>
          <w:lang w:val="en-US" w:eastAsia="zh-CN"/>
        </w:rPr>
        <w:t>（</w:t>
      </w:r>
      <w:r>
        <w:rPr>
          <w:rFonts w:hint="eastAsia" w:ascii="宋体" w:hAnsi="宋体" w:eastAsia="宋体" w:cs="宋体"/>
          <w:sz w:val="30"/>
          <w:szCs w:val="30"/>
          <w:lang w:val="en-US" w:eastAsia="zh-CN" w:bidi="ar-SA"/>
        </w:rPr>
        <w:t>双方协商签订</w:t>
      </w:r>
      <w:r>
        <w:rPr>
          <w:rFonts w:hint="eastAsia"/>
          <w:lang w:val="en-US" w:eastAsia="zh-CN"/>
        </w:rPr>
        <w:t>）</w:t>
      </w:r>
    </w:p>
    <w:sectPr>
      <w:pgSz w:w="11906" w:h="16838"/>
      <w:pgMar w:top="964" w:right="1021" w:bottom="964" w:left="1021"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rPr>
        <w:rFonts w:hAnsi="宋体"/>
      </w:rPr>
    </w:pPr>
    <w:r>
      <w:rPr>
        <w:rFonts w:hint="eastAsia" w:hAnsi="宋体"/>
      </w:rPr>
      <w:t>202</w:t>
    </w:r>
    <w:r>
      <w:rPr>
        <w:rFonts w:hAnsi="宋体"/>
      </w:rPr>
      <w:t>3</w:t>
    </w:r>
    <w:r>
      <w:rPr>
        <w:rFonts w:hint="eastAsia" w:hAnsi="宋体"/>
      </w:rPr>
      <w:t>年度零星工程维修单位遴选－招标文件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172A27"/>
    <w:rsid w:val="0000130C"/>
    <w:rsid w:val="0001189E"/>
    <w:rsid w:val="00011CBC"/>
    <w:rsid w:val="00013F1F"/>
    <w:rsid w:val="00020591"/>
    <w:rsid w:val="00022579"/>
    <w:rsid w:val="000227F3"/>
    <w:rsid w:val="000300FA"/>
    <w:rsid w:val="00034E6A"/>
    <w:rsid w:val="00037883"/>
    <w:rsid w:val="000414D3"/>
    <w:rsid w:val="00062B97"/>
    <w:rsid w:val="00074602"/>
    <w:rsid w:val="00083A44"/>
    <w:rsid w:val="000921E3"/>
    <w:rsid w:val="0009429E"/>
    <w:rsid w:val="000955D2"/>
    <w:rsid w:val="000A1BAE"/>
    <w:rsid w:val="000B2D46"/>
    <w:rsid w:val="000C3891"/>
    <w:rsid w:val="000D3C29"/>
    <w:rsid w:val="000E3A51"/>
    <w:rsid w:val="000F0B31"/>
    <w:rsid w:val="00104D52"/>
    <w:rsid w:val="00115F7B"/>
    <w:rsid w:val="0011612A"/>
    <w:rsid w:val="001269FA"/>
    <w:rsid w:val="0014207F"/>
    <w:rsid w:val="00142405"/>
    <w:rsid w:val="001433DB"/>
    <w:rsid w:val="0014556F"/>
    <w:rsid w:val="00157635"/>
    <w:rsid w:val="00172A27"/>
    <w:rsid w:val="00172CAA"/>
    <w:rsid w:val="00181E14"/>
    <w:rsid w:val="00185388"/>
    <w:rsid w:val="001943F1"/>
    <w:rsid w:val="001A1EDF"/>
    <w:rsid w:val="001A3304"/>
    <w:rsid w:val="001C4C5D"/>
    <w:rsid w:val="001E077D"/>
    <w:rsid w:val="0021094F"/>
    <w:rsid w:val="002114B9"/>
    <w:rsid w:val="0021517F"/>
    <w:rsid w:val="00215D24"/>
    <w:rsid w:val="00217991"/>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31E7"/>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47901"/>
    <w:rsid w:val="00551968"/>
    <w:rsid w:val="005523F9"/>
    <w:rsid w:val="00565D29"/>
    <w:rsid w:val="00571E26"/>
    <w:rsid w:val="0057392A"/>
    <w:rsid w:val="0057670A"/>
    <w:rsid w:val="0058164F"/>
    <w:rsid w:val="00581EB4"/>
    <w:rsid w:val="00587168"/>
    <w:rsid w:val="00593373"/>
    <w:rsid w:val="005947FE"/>
    <w:rsid w:val="005A011C"/>
    <w:rsid w:val="005A1491"/>
    <w:rsid w:val="005C0690"/>
    <w:rsid w:val="005D660E"/>
    <w:rsid w:val="005D76BC"/>
    <w:rsid w:val="005E1295"/>
    <w:rsid w:val="005E270B"/>
    <w:rsid w:val="005F3651"/>
    <w:rsid w:val="005F6D20"/>
    <w:rsid w:val="006076D0"/>
    <w:rsid w:val="0064548D"/>
    <w:rsid w:val="0068224E"/>
    <w:rsid w:val="0068598C"/>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C32BD"/>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0B64"/>
    <w:rsid w:val="009123FA"/>
    <w:rsid w:val="00916D1E"/>
    <w:rsid w:val="00927129"/>
    <w:rsid w:val="0093288F"/>
    <w:rsid w:val="00935B90"/>
    <w:rsid w:val="00953907"/>
    <w:rsid w:val="009541A1"/>
    <w:rsid w:val="00956AE4"/>
    <w:rsid w:val="00964782"/>
    <w:rsid w:val="00983489"/>
    <w:rsid w:val="00993251"/>
    <w:rsid w:val="0099747D"/>
    <w:rsid w:val="009976EE"/>
    <w:rsid w:val="009A21CB"/>
    <w:rsid w:val="009B7EC9"/>
    <w:rsid w:val="009C218A"/>
    <w:rsid w:val="009D1F47"/>
    <w:rsid w:val="009D23DB"/>
    <w:rsid w:val="009D4EE9"/>
    <w:rsid w:val="009F639B"/>
    <w:rsid w:val="00A00192"/>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D640A"/>
    <w:rsid w:val="00AE0E42"/>
    <w:rsid w:val="00AE5591"/>
    <w:rsid w:val="00AE5D1C"/>
    <w:rsid w:val="00B10AC3"/>
    <w:rsid w:val="00B35C4C"/>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75260"/>
    <w:rsid w:val="00C821FD"/>
    <w:rsid w:val="00C82454"/>
    <w:rsid w:val="00C82BBB"/>
    <w:rsid w:val="00C8568F"/>
    <w:rsid w:val="00C93064"/>
    <w:rsid w:val="00CA6177"/>
    <w:rsid w:val="00CA64F2"/>
    <w:rsid w:val="00CB1E2C"/>
    <w:rsid w:val="00CB78BD"/>
    <w:rsid w:val="00CB7B63"/>
    <w:rsid w:val="00CC5987"/>
    <w:rsid w:val="00CC6ED4"/>
    <w:rsid w:val="00CD004D"/>
    <w:rsid w:val="00CD4587"/>
    <w:rsid w:val="00CE5482"/>
    <w:rsid w:val="00D21B10"/>
    <w:rsid w:val="00D24F81"/>
    <w:rsid w:val="00D40A36"/>
    <w:rsid w:val="00D40F38"/>
    <w:rsid w:val="00D45A14"/>
    <w:rsid w:val="00D60F7C"/>
    <w:rsid w:val="00D65F48"/>
    <w:rsid w:val="00D72148"/>
    <w:rsid w:val="00D907DF"/>
    <w:rsid w:val="00D9414E"/>
    <w:rsid w:val="00DA21B8"/>
    <w:rsid w:val="00DB3C91"/>
    <w:rsid w:val="00DC0447"/>
    <w:rsid w:val="00DC1C6E"/>
    <w:rsid w:val="00DC4377"/>
    <w:rsid w:val="00DC4A4A"/>
    <w:rsid w:val="00DC6D26"/>
    <w:rsid w:val="00DD2646"/>
    <w:rsid w:val="00DD26EF"/>
    <w:rsid w:val="00DE0AD4"/>
    <w:rsid w:val="00DE1B68"/>
    <w:rsid w:val="00DE3F0A"/>
    <w:rsid w:val="00DE4625"/>
    <w:rsid w:val="00DE761B"/>
    <w:rsid w:val="00DF6E1E"/>
    <w:rsid w:val="00E13789"/>
    <w:rsid w:val="00E27570"/>
    <w:rsid w:val="00E44A52"/>
    <w:rsid w:val="00E56AF3"/>
    <w:rsid w:val="00E66D51"/>
    <w:rsid w:val="00E73B8A"/>
    <w:rsid w:val="00E742A7"/>
    <w:rsid w:val="00E76852"/>
    <w:rsid w:val="00E77F85"/>
    <w:rsid w:val="00E8706F"/>
    <w:rsid w:val="00E87E3E"/>
    <w:rsid w:val="00E91636"/>
    <w:rsid w:val="00EA3731"/>
    <w:rsid w:val="00EA6F1B"/>
    <w:rsid w:val="00EC14D2"/>
    <w:rsid w:val="00ED6EA0"/>
    <w:rsid w:val="00EE1B3C"/>
    <w:rsid w:val="00EF4DBE"/>
    <w:rsid w:val="00EF7675"/>
    <w:rsid w:val="00F604E1"/>
    <w:rsid w:val="00F70C2F"/>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C95743"/>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C20664"/>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33F8A"/>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054DB2"/>
    <w:rsid w:val="133D2F1E"/>
    <w:rsid w:val="13785584"/>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1A6DC6"/>
    <w:rsid w:val="16387403"/>
    <w:rsid w:val="166D588D"/>
    <w:rsid w:val="167539E5"/>
    <w:rsid w:val="1694429A"/>
    <w:rsid w:val="16C95754"/>
    <w:rsid w:val="172F6697"/>
    <w:rsid w:val="17332B1E"/>
    <w:rsid w:val="173A446A"/>
    <w:rsid w:val="174E047F"/>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9C228A"/>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897648"/>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57EA0"/>
    <w:rsid w:val="1D7B3732"/>
    <w:rsid w:val="1DBA1246"/>
    <w:rsid w:val="1DE5415D"/>
    <w:rsid w:val="1E3D1A9F"/>
    <w:rsid w:val="1E5209CD"/>
    <w:rsid w:val="1E574E55"/>
    <w:rsid w:val="1E6366E9"/>
    <w:rsid w:val="1E711282"/>
    <w:rsid w:val="1E7A630E"/>
    <w:rsid w:val="1E9D0594"/>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0F546B7"/>
    <w:rsid w:val="20F93FAD"/>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8B264F"/>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6B2934"/>
    <w:rsid w:val="2970130A"/>
    <w:rsid w:val="29857C3C"/>
    <w:rsid w:val="29CF2FAE"/>
    <w:rsid w:val="2A0C1188"/>
    <w:rsid w:val="2A16531B"/>
    <w:rsid w:val="2A17081E"/>
    <w:rsid w:val="2A1A282A"/>
    <w:rsid w:val="2A4A3DE8"/>
    <w:rsid w:val="2A4E2EF7"/>
    <w:rsid w:val="2A75287D"/>
    <w:rsid w:val="2A7917BC"/>
    <w:rsid w:val="2A982071"/>
    <w:rsid w:val="2ABD7C60"/>
    <w:rsid w:val="2B5B432E"/>
    <w:rsid w:val="2B9D3E9D"/>
    <w:rsid w:val="2B9E368A"/>
    <w:rsid w:val="2BC517DF"/>
    <w:rsid w:val="2BCF20EE"/>
    <w:rsid w:val="2BD74F7C"/>
    <w:rsid w:val="2BE07E0A"/>
    <w:rsid w:val="2C0F0959"/>
    <w:rsid w:val="2C1A6CEA"/>
    <w:rsid w:val="2C202DF2"/>
    <w:rsid w:val="2C393122"/>
    <w:rsid w:val="2C3C00D4"/>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162111"/>
    <w:rsid w:val="2E246D3F"/>
    <w:rsid w:val="2E316055"/>
    <w:rsid w:val="2E521E0D"/>
    <w:rsid w:val="2E5C265F"/>
    <w:rsid w:val="2E5D6548"/>
    <w:rsid w:val="2E870FE2"/>
    <w:rsid w:val="2EF67098"/>
    <w:rsid w:val="2EFA2AD3"/>
    <w:rsid w:val="2F043E2F"/>
    <w:rsid w:val="2F31727D"/>
    <w:rsid w:val="2F5B483E"/>
    <w:rsid w:val="2F662571"/>
    <w:rsid w:val="2FDE4E17"/>
    <w:rsid w:val="300778AB"/>
    <w:rsid w:val="300A115E"/>
    <w:rsid w:val="301F08EA"/>
    <w:rsid w:val="303D7F63"/>
    <w:rsid w:val="306B5D4B"/>
    <w:rsid w:val="30711E07"/>
    <w:rsid w:val="30766D5D"/>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1208FD"/>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B9185F"/>
    <w:rsid w:val="3EBE2135"/>
    <w:rsid w:val="3EEE694E"/>
    <w:rsid w:val="3F1E169C"/>
    <w:rsid w:val="3F5301DE"/>
    <w:rsid w:val="3F551743"/>
    <w:rsid w:val="3F5C2D71"/>
    <w:rsid w:val="3F762542"/>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1D5AFE"/>
    <w:rsid w:val="42307D25"/>
    <w:rsid w:val="425B65EB"/>
    <w:rsid w:val="42C76F9F"/>
    <w:rsid w:val="42CC5625"/>
    <w:rsid w:val="42D2752E"/>
    <w:rsid w:val="43296B6C"/>
    <w:rsid w:val="436832A5"/>
    <w:rsid w:val="43C46354"/>
    <w:rsid w:val="43C97374"/>
    <w:rsid w:val="43CE2645"/>
    <w:rsid w:val="43EC5A7C"/>
    <w:rsid w:val="44071AED"/>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DF5A6B"/>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27EB7"/>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14501A"/>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1D3D5A"/>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6B311E"/>
    <w:rsid w:val="5D964551"/>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5D09FB"/>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35B2E"/>
    <w:rsid w:val="67184FB0"/>
    <w:rsid w:val="67673E36"/>
    <w:rsid w:val="6767412F"/>
    <w:rsid w:val="677D44E9"/>
    <w:rsid w:val="67A7359A"/>
    <w:rsid w:val="67C32ECB"/>
    <w:rsid w:val="67C718D1"/>
    <w:rsid w:val="67E36C7A"/>
    <w:rsid w:val="680726BA"/>
    <w:rsid w:val="68213264"/>
    <w:rsid w:val="682A438F"/>
    <w:rsid w:val="68344483"/>
    <w:rsid w:val="68503DB3"/>
    <w:rsid w:val="68624F20"/>
    <w:rsid w:val="6870183D"/>
    <w:rsid w:val="68A2033A"/>
    <w:rsid w:val="68C504EF"/>
    <w:rsid w:val="68D7351C"/>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7C2B64"/>
    <w:rsid w:val="6C891E9F"/>
    <w:rsid w:val="6CC805B2"/>
    <w:rsid w:val="6CCC5E0B"/>
    <w:rsid w:val="6CF724D3"/>
    <w:rsid w:val="6D121871"/>
    <w:rsid w:val="6D1B140E"/>
    <w:rsid w:val="6D2D712A"/>
    <w:rsid w:val="6D6A2812"/>
    <w:rsid w:val="6D6F0E98"/>
    <w:rsid w:val="6D813038"/>
    <w:rsid w:val="6D8C37DA"/>
    <w:rsid w:val="6D947740"/>
    <w:rsid w:val="6DA11102"/>
    <w:rsid w:val="6DB27D0B"/>
    <w:rsid w:val="6DBB3515"/>
    <w:rsid w:val="6DC30922"/>
    <w:rsid w:val="6DEC1AE6"/>
    <w:rsid w:val="6E443E00"/>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B80FAC"/>
    <w:rsid w:val="71C233B0"/>
    <w:rsid w:val="71D545CF"/>
    <w:rsid w:val="71D7575F"/>
    <w:rsid w:val="71F21981"/>
    <w:rsid w:val="71FB480F"/>
    <w:rsid w:val="72053ADC"/>
    <w:rsid w:val="722A1ADB"/>
    <w:rsid w:val="726254B8"/>
    <w:rsid w:val="72BA00C5"/>
    <w:rsid w:val="72BB4E08"/>
    <w:rsid w:val="72BE485C"/>
    <w:rsid w:val="72FF663B"/>
    <w:rsid w:val="730541A5"/>
    <w:rsid w:val="73231CF3"/>
    <w:rsid w:val="736D6C6F"/>
    <w:rsid w:val="738E13A2"/>
    <w:rsid w:val="73A722CC"/>
    <w:rsid w:val="73BE05EB"/>
    <w:rsid w:val="73CC6C88"/>
    <w:rsid w:val="741C4E82"/>
    <w:rsid w:val="7427609D"/>
    <w:rsid w:val="74563369"/>
    <w:rsid w:val="74680181"/>
    <w:rsid w:val="747928B0"/>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8200E"/>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A95EA1"/>
    <w:rsid w:val="7AB4245F"/>
    <w:rsid w:val="7AC41596"/>
    <w:rsid w:val="7AC96B81"/>
    <w:rsid w:val="7ACB6801"/>
    <w:rsid w:val="7ACD1D04"/>
    <w:rsid w:val="7AD44F12"/>
    <w:rsid w:val="7B2A7E9F"/>
    <w:rsid w:val="7B3769CC"/>
    <w:rsid w:val="7B3A013A"/>
    <w:rsid w:val="7BDD4DDA"/>
    <w:rsid w:val="7BEC215B"/>
    <w:rsid w:val="7BF344C5"/>
    <w:rsid w:val="7C112AF8"/>
    <w:rsid w:val="7C476FF2"/>
    <w:rsid w:val="7C5C5C93"/>
    <w:rsid w:val="7C9D7D81"/>
    <w:rsid w:val="7CB11B48"/>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5">
    <w:name w:val="heading 3"/>
    <w:basedOn w:val="1"/>
    <w:next w:val="1"/>
    <w:qFormat/>
    <w:uiPriority w:val="0"/>
    <w:pPr>
      <w:keepNext/>
      <w:keepLines/>
      <w:spacing w:before="260" w:after="260" w:line="415" w:lineRule="auto"/>
      <w:outlineLvl w:val="2"/>
    </w:pPr>
    <w:rPr>
      <w:b/>
      <w:sz w:val="32"/>
      <w:szCs w:val="3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paragraph" w:styleId="6">
    <w:name w:val="Normal Indent"/>
    <w:basedOn w:val="1"/>
    <w:link w:val="31"/>
    <w:qFormat/>
    <w:uiPriority w:val="0"/>
    <w:pPr>
      <w:ind w:firstLine="420" w:firstLineChars="200"/>
    </w:pPr>
    <w:rPr>
      <w:rFonts w:ascii="Times New Roman"/>
      <w:kern w:val="2"/>
      <w:sz w:val="21"/>
      <w:szCs w:val="24"/>
    </w:rPr>
  </w:style>
  <w:style w:type="paragraph" w:styleId="7">
    <w:name w:val="annotation text"/>
    <w:basedOn w:val="1"/>
    <w:qFormat/>
    <w:uiPriority w:val="0"/>
    <w:pPr>
      <w:jc w:val="left"/>
    </w:pPr>
    <w:rPr>
      <w:rFonts w:ascii="Times New Roman"/>
    </w:rPr>
  </w:style>
  <w:style w:type="paragraph" w:styleId="8">
    <w:name w:val="Body Text Indent"/>
    <w:basedOn w:val="1"/>
    <w:link w:val="39"/>
    <w:qFormat/>
    <w:uiPriority w:val="0"/>
    <w:pPr>
      <w:ind w:firstLine="630"/>
    </w:pPr>
    <w:rPr>
      <w:rFonts w:ascii="Times New Roman"/>
      <w:kern w:val="2"/>
      <w:sz w:val="32"/>
    </w:rPr>
  </w:style>
  <w:style w:type="paragraph" w:styleId="9">
    <w:name w:val="Plain Text"/>
    <w:basedOn w:val="1"/>
    <w:link w:val="48"/>
    <w:qFormat/>
    <w:uiPriority w:val="0"/>
    <w:rPr>
      <w:rFonts w:hAnsi="Courier New"/>
      <w:kern w:val="2"/>
      <w:sz w:val="21"/>
    </w:rPr>
  </w:style>
  <w:style w:type="paragraph" w:styleId="10">
    <w:name w:val="Body Text Indent 2"/>
    <w:basedOn w:val="1"/>
    <w:qFormat/>
    <w:uiPriority w:val="0"/>
    <w:pPr>
      <w:ind w:firstLine="630"/>
    </w:pPr>
    <w:rPr>
      <w:sz w:val="32"/>
      <w:szCs w:val="32"/>
    </w:rPr>
  </w:style>
  <w:style w:type="paragraph" w:styleId="11">
    <w:name w:val="Balloon Text"/>
    <w:basedOn w:val="1"/>
    <w:qFormat/>
    <w:uiPriority w:val="0"/>
    <w:rPr>
      <w:rFonts w:ascii="Times New Roman"/>
      <w:sz w:val="18"/>
      <w:szCs w:val="18"/>
    </w:rPr>
  </w:style>
  <w:style w:type="paragraph" w:styleId="12">
    <w:name w:val="footer"/>
    <w:basedOn w:val="1"/>
    <w:qFormat/>
    <w:uiPriority w:val="0"/>
    <w:pPr>
      <w:tabs>
        <w:tab w:val="center" w:pos="4140"/>
        <w:tab w:val="right" w:pos="8300"/>
      </w:tabs>
      <w:jc w:val="left"/>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rFonts w:ascii="Times New Roman"/>
      <w:sz w:val="16"/>
      <w:szCs w:val="16"/>
    </w:rPr>
  </w:style>
  <w:style w:type="paragraph" w:styleId="16">
    <w:name w:val="toc 2"/>
    <w:basedOn w:val="1"/>
    <w:next w:val="1"/>
    <w:qFormat/>
    <w:uiPriority w:val="0"/>
    <w:pPr>
      <w:ind w:left="420" w:leftChars="200"/>
    </w:pPr>
    <w:rPr>
      <w:rFonts w:ascii="Times New Roman"/>
    </w:rPr>
  </w:style>
  <w:style w:type="paragraph" w:styleId="17">
    <w:name w:val="Body Text 2"/>
    <w:basedOn w:val="1"/>
    <w:qFormat/>
    <w:uiPriority w:val="0"/>
    <w:pPr>
      <w:spacing w:line="480" w:lineRule="auto"/>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Arial" w:hAnsi="Arial" w:eastAsia="宋体" w:cs="Arial"/>
      <w:color w:val="007CD2"/>
      <w:sz w:val="24"/>
      <w:szCs w:val="24"/>
      <w:u w:val="none"/>
    </w:rPr>
  </w:style>
  <w:style w:type="character" w:styleId="25">
    <w:name w:val="Hyperlink"/>
    <w:qFormat/>
    <w:uiPriority w:val="0"/>
    <w:rPr>
      <w:rFonts w:ascii="Times New Roman" w:hAnsi="Times New Roman" w:eastAsia="宋体" w:cs="Times New Roman"/>
      <w:color w:val="0000FF"/>
      <w:u w:val="single"/>
    </w:rPr>
  </w:style>
  <w:style w:type="character" w:styleId="26">
    <w:name w:val="annotation reference"/>
    <w:qFormat/>
    <w:uiPriority w:val="0"/>
    <w:rPr>
      <w:rFonts w:cs="Times New Roman"/>
      <w:sz w:val="21"/>
      <w:szCs w:val="21"/>
    </w:rPr>
  </w:style>
  <w:style w:type="paragraph" w:customStyle="1" w:styleId="27">
    <w:name w:val="标题 5（有编号）（绿盟科技）"/>
    <w:basedOn w:val="1"/>
    <w:next w:val="2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字符"/>
    <w:link w:val="6"/>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字符"/>
    <w:link w:val="8"/>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字符"/>
    <w:link w:val="9"/>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basedOn w:val="1"/>
    <w:next w:val="1"/>
    <w:qFormat/>
    <w:uiPriority w:val="0"/>
    <w:rPr>
      <w:rFonts w:ascii="Calibri"/>
      <w:kern w:val="2"/>
      <w:sz w:val="21"/>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table" w:customStyle="1" w:styleId="76">
    <w:name w:val="Table Normal"/>
    <w:unhideWhenUsed/>
    <w:qFormat/>
    <w:uiPriority w:val="0"/>
    <w:tblPr>
      <w:tblCellMar>
        <w:top w:w="0" w:type="dxa"/>
        <w:left w:w="0" w:type="dxa"/>
        <w:bottom w:w="0" w:type="dxa"/>
        <w:right w:w="0" w:type="dxa"/>
      </w:tblCellMar>
    </w:tblPr>
  </w:style>
  <w:style w:type="paragraph" w:customStyle="1" w:styleId="77">
    <w:name w:val="正文2"/>
    <w:basedOn w:val="8"/>
    <w:qFormat/>
    <w:uiPriority w:val="0"/>
    <w:pPr>
      <w:spacing w:line="480" w:lineRule="exact"/>
      <w:ind w:firstLine="480" w:firstLineChars="200"/>
    </w:pPr>
    <w:rPr>
      <w:rFonts w:hAnsi="宋体"/>
      <w:bCs/>
      <w:sz w:val="24"/>
      <w:szCs w:val="24"/>
      <w:lang w:val="zh-CN"/>
    </w:rPr>
  </w:style>
  <w:style w:type="paragraph" w:customStyle="1" w:styleId="78">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24</Pages>
  <Words>8239</Words>
  <Characters>8649</Characters>
  <Lines>70</Lines>
  <Paragraphs>19</Paragraphs>
  <TotalTime>151</TotalTime>
  <ScaleCrop>false</ScaleCrop>
  <LinksUpToDate>false</LinksUpToDate>
  <CharactersWithSpaces>8962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2015-08-20T10:29:00Z</cp:lastPrinted>
  <dcterms:modified xsi:type="dcterms:W3CDTF">2023-03-07T07:36:17Z</dcterms:modified>
  <dc:title>招标编号：SCSZ-2013-02</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B133DD2E4E1F4D90809A40312979AF91</vt:lpwstr>
  </property>
</Properties>
</file>