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color w:val="auto"/>
          <w:sz w:val="36"/>
          <w:szCs w:val="36"/>
          <w:highlight w:val="none"/>
          <w:u w:val="single"/>
        </w:rPr>
      </w:pPr>
    </w:p>
    <w:p>
      <w:pPr>
        <w:spacing w:line="640" w:lineRule="exact"/>
        <w:jc w:val="center"/>
        <w:rPr>
          <w:rFonts w:ascii="方正小标宋简体" w:hAnsi="微软雅黑" w:eastAsia="方正小标宋简体"/>
          <w:color w:val="auto"/>
          <w:sz w:val="36"/>
          <w:szCs w:val="36"/>
          <w:highlight w:val="none"/>
          <w:u w:val="single"/>
        </w:rPr>
      </w:pPr>
    </w:p>
    <w:p>
      <w:pPr>
        <w:spacing w:line="640" w:lineRule="exact"/>
        <w:jc w:val="center"/>
        <w:rPr>
          <w:rFonts w:ascii="方正小标宋简体" w:hAnsi="微软雅黑" w:eastAsia="方正小标宋简体"/>
          <w:b/>
          <w:bCs/>
          <w:color w:val="auto"/>
          <w:spacing w:val="20"/>
          <w:sz w:val="52"/>
          <w:szCs w:val="52"/>
          <w:highlight w:val="none"/>
        </w:rPr>
      </w:pPr>
      <w:r>
        <w:rPr>
          <w:rFonts w:hint="eastAsia" w:ascii="方正小标宋简体" w:hAnsi="微软雅黑" w:eastAsia="方正小标宋简体"/>
          <w:b/>
          <w:bCs/>
          <w:color w:val="auto"/>
          <w:spacing w:val="20"/>
          <w:sz w:val="52"/>
          <w:szCs w:val="52"/>
          <w:highlight w:val="none"/>
        </w:rPr>
        <w:t>四川铁道职业学院采购项目</w:t>
      </w:r>
    </w:p>
    <w:p>
      <w:pPr>
        <w:spacing w:line="640" w:lineRule="exact"/>
        <w:ind w:firstLine="2240" w:firstLineChars="700"/>
        <w:rPr>
          <w:rFonts w:ascii="宋体" w:hAnsi="宋体" w:eastAsia="宋体"/>
          <w:color w:val="auto"/>
          <w:sz w:val="32"/>
          <w:szCs w:val="32"/>
          <w:highlight w:val="none"/>
        </w:rPr>
      </w:pP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竞</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争</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性</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比</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选</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文</w:t>
      </w:r>
    </w:p>
    <w:p>
      <w:pPr>
        <w:snapToGrid w:val="0"/>
        <w:spacing w:line="331" w:lineRule="auto"/>
        <w:jc w:val="center"/>
        <w:rPr>
          <w:rFonts w:ascii="方正小标宋简体" w:hAnsi="宋体" w:eastAsia="方正小标宋简体" w:cs="宋体"/>
          <w:b/>
          <w:color w:val="auto"/>
          <w:kern w:val="0"/>
          <w:sz w:val="52"/>
          <w:szCs w:val="52"/>
          <w:highlight w:val="none"/>
        </w:rPr>
      </w:pPr>
      <w:r>
        <w:rPr>
          <w:rFonts w:hint="eastAsia" w:ascii="方正小标宋简体" w:hAnsi="宋体" w:eastAsia="方正小标宋简体" w:cs="宋体"/>
          <w:b/>
          <w:color w:val="auto"/>
          <w:kern w:val="0"/>
          <w:sz w:val="52"/>
          <w:szCs w:val="52"/>
          <w:highlight w:val="none"/>
        </w:rPr>
        <w:t>件</w:t>
      </w:r>
    </w:p>
    <w:p>
      <w:pPr>
        <w:jc w:val="center"/>
        <w:rPr>
          <w:rFonts w:ascii="方正小标宋简体" w:hAnsi="微软雅黑" w:eastAsia="方正小标宋简体"/>
          <w:color w:val="auto"/>
          <w:sz w:val="36"/>
          <w:szCs w:val="36"/>
          <w:highlight w:val="none"/>
        </w:rPr>
      </w:pPr>
    </w:p>
    <w:p>
      <w:pPr>
        <w:autoSpaceDE w:val="0"/>
        <w:autoSpaceDN w:val="0"/>
        <w:adjustRightInd w:val="0"/>
        <w:snapToGrid w:val="0"/>
        <w:spacing w:line="360" w:lineRule="auto"/>
        <w:jc w:val="center"/>
        <w:rPr>
          <w:rFonts w:ascii="宋体" w:hAnsi="宋体" w:eastAsia="宋体" w:cs="宋体"/>
          <w:color w:val="auto"/>
          <w:sz w:val="30"/>
          <w:szCs w:val="30"/>
          <w:highlight w:val="none"/>
        </w:rPr>
      </w:pPr>
      <w:r>
        <w:rPr>
          <w:rFonts w:hint="eastAsia" w:ascii="宋体" w:hAnsi="宋体" w:eastAsia="宋体"/>
          <w:color w:val="auto"/>
          <w:sz w:val="30"/>
          <w:szCs w:val="30"/>
          <w:highlight w:val="none"/>
        </w:rPr>
        <w:t>四川</w:t>
      </w:r>
      <w:r>
        <w:rPr>
          <w:rFonts w:hint="eastAsia" w:ascii="宋体" w:hAnsi="宋体" w:eastAsia="宋体"/>
          <w:b/>
          <w:color w:val="auto"/>
          <w:sz w:val="32"/>
          <w:szCs w:val="32"/>
          <w:highlight w:val="none"/>
        </w:rPr>
        <w:t>·</w:t>
      </w:r>
      <w:r>
        <w:rPr>
          <w:rFonts w:hint="eastAsia" w:ascii="宋体" w:hAnsi="宋体" w:eastAsia="宋体"/>
          <w:color w:val="auto"/>
          <w:sz w:val="30"/>
          <w:szCs w:val="30"/>
          <w:highlight w:val="none"/>
        </w:rPr>
        <w:t>成都</w:t>
      </w:r>
    </w:p>
    <w:p>
      <w:pPr>
        <w:snapToGrid w:val="0"/>
        <w:spacing w:line="360" w:lineRule="auto"/>
        <w:jc w:val="center"/>
        <w:rPr>
          <w:rFonts w:ascii="宋体" w:hAnsi="宋体" w:eastAsia="宋体" w:cs="宋体"/>
          <w:bCs/>
          <w:color w:val="auto"/>
          <w:sz w:val="32"/>
          <w:szCs w:val="32"/>
          <w:highlight w:val="none"/>
          <w:lang w:val="zh-CN"/>
        </w:rPr>
      </w:pPr>
      <w:r>
        <w:rPr>
          <w:rFonts w:ascii="宋体" w:hAnsi="宋体" w:eastAsia="宋体" w:cs="Times New Roman"/>
          <w:bCs/>
          <w:color w:val="auto"/>
          <w:sz w:val="32"/>
          <w:szCs w:val="32"/>
          <w:highlight w:val="none"/>
        </w:rPr>
        <w:t>202</w:t>
      </w:r>
      <w:r>
        <w:rPr>
          <w:rFonts w:hint="eastAsia" w:ascii="宋体" w:hAnsi="宋体" w:eastAsia="宋体" w:cs="Times New Roman"/>
          <w:bCs/>
          <w:color w:val="auto"/>
          <w:sz w:val="32"/>
          <w:szCs w:val="32"/>
          <w:highlight w:val="none"/>
          <w:lang w:val="en-US" w:eastAsia="zh-CN"/>
        </w:rPr>
        <w:t>4</w:t>
      </w:r>
      <w:r>
        <w:rPr>
          <w:rFonts w:hint="eastAsia" w:ascii="宋体" w:hAnsi="宋体" w:eastAsia="宋体" w:cs="宋体"/>
          <w:bCs/>
          <w:color w:val="auto"/>
          <w:sz w:val="32"/>
          <w:szCs w:val="32"/>
          <w:highlight w:val="none"/>
          <w:lang w:val="zh-CN"/>
        </w:rPr>
        <w:t>年</w:t>
      </w:r>
      <w:r>
        <w:rPr>
          <w:rFonts w:hint="eastAsia" w:ascii="宋体" w:hAnsi="宋体" w:eastAsia="宋体" w:cs="宋体"/>
          <w:bCs/>
          <w:color w:val="auto"/>
          <w:sz w:val="32"/>
          <w:szCs w:val="32"/>
          <w:highlight w:val="none"/>
          <w:lang w:val="en-US" w:eastAsia="zh-CN"/>
        </w:rPr>
        <w:t>4</w:t>
      </w:r>
      <w:r>
        <w:rPr>
          <w:rFonts w:hint="eastAsia" w:ascii="宋体" w:hAnsi="宋体" w:eastAsia="宋体" w:cs="宋体"/>
          <w:bCs/>
          <w:color w:val="auto"/>
          <w:sz w:val="32"/>
          <w:szCs w:val="32"/>
          <w:highlight w:val="none"/>
          <w:lang w:val="zh-CN"/>
        </w:rPr>
        <w:t>月</w:t>
      </w:r>
      <w:bookmarkStart w:id="0" w:name="_Hlt101233737"/>
      <w:bookmarkEnd w:id="0"/>
      <w:bookmarkStart w:id="1" w:name="_Hlt101843627"/>
      <w:bookmarkEnd w:id="1"/>
    </w:p>
    <w:p>
      <w:pPr>
        <w:pStyle w:val="26"/>
        <w:rPr>
          <w:color w:val="auto"/>
          <w:highlight w:val="none"/>
          <w:lang w:val="zh-CN"/>
        </w:rPr>
      </w:pPr>
      <w:r>
        <w:rPr>
          <w:color w:val="auto"/>
          <w:highlight w:val="none"/>
          <w:lang w:val="zh-CN"/>
        </w:rPr>
        <w:br w:type="page"/>
      </w:r>
    </w:p>
    <w:p>
      <w:pPr>
        <w:pStyle w:val="3"/>
        <w:spacing w:line="360" w:lineRule="auto"/>
        <w:jc w:val="center"/>
        <w:rPr>
          <w:rFonts w:ascii="宋体" w:hAnsi="宋体" w:eastAsia="宋体"/>
          <w:color w:val="auto"/>
          <w:highlight w:val="none"/>
        </w:rPr>
      </w:pPr>
      <w:r>
        <w:rPr>
          <w:rFonts w:hint="eastAsia" w:ascii="宋体" w:hAnsi="宋体" w:eastAsia="宋体"/>
          <w:bCs w:val="0"/>
          <w:color w:val="auto"/>
          <w:sz w:val="36"/>
          <w:highlight w:val="none"/>
        </w:rPr>
        <w:t>第一章 比选邀请</w:t>
      </w:r>
    </w:p>
    <w:p>
      <w:pPr>
        <w:spacing w:line="500" w:lineRule="exact"/>
        <w:ind w:firstLine="480"/>
        <w:outlineLvl w:val="9"/>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四川铁道职业学院拟</w:t>
      </w:r>
      <w:r>
        <w:rPr>
          <w:rFonts w:hint="eastAsia" w:ascii="宋体" w:hAnsi="宋体" w:eastAsia="宋体" w:cs="Times New Roman"/>
          <w:color w:val="auto"/>
          <w:sz w:val="24"/>
          <w:szCs w:val="24"/>
          <w:highlight w:val="none"/>
          <w:lang w:val="en-US" w:eastAsia="zh-CN"/>
        </w:rPr>
        <w:t>对2024年修缮项目监理服务项目</w:t>
      </w:r>
      <w:r>
        <w:rPr>
          <w:rFonts w:hint="eastAsia" w:ascii="宋体" w:hAnsi="宋体" w:eastAsia="宋体" w:cs="Times New Roman"/>
          <w:color w:val="auto"/>
          <w:sz w:val="24"/>
          <w:szCs w:val="24"/>
          <w:highlight w:val="none"/>
        </w:rPr>
        <w:t>进</w:t>
      </w:r>
      <w:r>
        <w:rPr>
          <w:rFonts w:ascii="宋体" w:hAnsi="宋体" w:eastAsia="宋体" w:cs="Times New Roman"/>
          <w:color w:val="auto"/>
          <w:sz w:val="24"/>
          <w:szCs w:val="24"/>
          <w:highlight w:val="none"/>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项目名称：</w:t>
      </w:r>
      <w:r>
        <w:rPr>
          <w:rFonts w:hint="eastAsia" w:ascii="宋体" w:hAnsi="宋体" w:eastAsia="宋体" w:cs="Times New Roman"/>
          <w:color w:val="auto"/>
          <w:sz w:val="24"/>
          <w:szCs w:val="24"/>
          <w:highlight w:val="none"/>
          <w:lang w:val="en-US" w:eastAsia="zh-CN"/>
        </w:rPr>
        <w:t>2024年修缮项目监理服务项目</w:t>
      </w:r>
    </w:p>
    <w:p>
      <w:pPr>
        <w:spacing w:line="360" w:lineRule="auto"/>
        <w:ind w:firstLine="482" w:firstLineChars="200"/>
        <w:outlineLvl w:val="1"/>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rPr>
        <w:t>二、项目编号：CTZY-CG-</w:t>
      </w:r>
      <w:r>
        <w:rPr>
          <w:rFonts w:hint="eastAsia" w:ascii="宋体" w:hAnsi="宋体" w:eastAsia="宋体" w:cs="Times New Roman"/>
          <w:b/>
          <w:color w:val="auto"/>
          <w:sz w:val="24"/>
          <w:szCs w:val="24"/>
          <w:highlight w:val="none"/>
          <w:lang w:val="en-US" w:eastAsia="zh-CN"/>
        </w:rPr>
        <w:t>2024019</w:t>
      </w:r>
    </w:p>
    <w:p>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三、项目简介</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本项目共计1个包，拟确定中选人1名。（具体比选详情见第四章）</w:t>
      </w:r>
    </w:p>
    <w:p>
      <w:pPr>
        <w:spacing w:line="360" w:lineRule="auto"/>
        <w:ind w:firstLine="482" w:firstLineChars="200"/>
        <w:outlineLvl w:val="1"/>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四、供应商参加本次采购活动应具备下列条件：</w:t>
      </w:r>
      <w:bookmarkStart w:id="33" w:name="_GoBack"/>
      <w:bookmarkEnd w:id="33"/>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(一)具有独立承担民事责任的能力；</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(二)具有良好的商业信誉和健全的财务会计制度；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(三)具有履行合同所必需的设备和专业技术能力；</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(四)有依法缴纳税收和社会保障资金的良好记录；</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(五)参加比选活动前三年内，在经营活动中没有重大违法记录；</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(六)法律、行政法规规定的其他条件。</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公告</w:t>
      </w:r>
      <w:r>
        <w:rPr>
          <w:rFonts w:hint="eastAsia" w:ascii="宋体" w:hAnsi="宋体" w:eastAsia="宋体" w:cs="Times New Roman"/>
          <w:b/>
          <w:color w:val="auto"/>
          <w:sz w:val="24"/>
          <w:szCs w:val="24"/>
          <w:highlight w:val="none"/>
        </w:rPr>
        <w:t>发布的媒体</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本次比选公告在四川铁道职业学院官网（https://www.scrc.org.cn/）发布。</w:t>
      </w:r>
    </w:p>
    <w:p>
      <w:pPr>
        <w:spacing w:line="360" w:lineRule="auto"/>
        <w:ind w:firstLine="482" w:firstLineChars="200"/>
        <w:outlineLvl w:val="1"/>
        <w:rPr>
          <w:rFonts w:hint="eastAsia" w:ascii="宋体" w:hAnsi="宋体" w:eastAsia="宋体" w:cs="Times New Roman"/>
          <w:b/>
          <w:color w:val="auto"/>
          <w:sz w:val="24"/>
          <w:szCs w:val="24"/>
          <w:highlight w:val="none"/>
        </w:rPr>
      </w:pP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六、禁止参加本次比选活动的供应商</w:t>
      </w:r>
    </w:p>
    <w:p>
      <w:pPr>
        <w:tabs>
          <w:tab w:val="left" w:pos="6255"/>
        </w:tabs>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hint="eastAsia" w:ascii="宋体" w:hAnsi="宋体" w:eastAsia="宋体" w:cs="Times New Roman"/>
          <w:b/>
          <w:color w:val="auto"/>
          <w:sz w:val="24"/>
          <w:szCs w:val="24"/>
          <w:highlight w:val="none"/>
        </w:rPr>
      </w:pPr>
    </w:p>
    <w:p>
      <w:pPr>
        <w:spacing w:line="360" w:lineRule="auto"/>
        <w:ind w:firstLine="482" w:firstLineChars="200"/>
        <w:outlineLvl w:val="1"/>
        <w:rPr>
          <w:rFonts w:hint="eastAsia" w:ascii="宋体" w:hAnsi="宋体" w:eastAsia="宋体" w:cs="Times New Roman"/>
          <w:b/>
          <w:color w:val="auto"/>
          <w:sz w:val="24"/>
          <w:szCs w:val="24"/>
          <w:highlight w:val="none"/>
        </w:rPr>
      </w:pPr>
    </w:p>
    <w:p>
      <w:pPr>
        <w:spacing w:line="360" w:lineRule="auto"/>
        <w:ind w:firstLine="482" w:firstLineChars="200"/>
        <w:outlineLvl w:val="1"/>
        <w:rPr>
          <w:rFonts w:hint="eastAsia" w:ascii="宋体" w:hAnsi="宋体" w:eastAsia="宋体" w:cs="Times New Roman"/>
          <w:b/>
          <w:color w:val="auto"/>
          <w:sz w:val="24"/>
          <w:szCs w:val="24"/>
          <w:highlight w:val="none"/>
        </w:rPr>
      </w:pP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提交比选申请文件截止时间（参加比选的时间）</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202</w:t>
      </w:r>
      <w:r>
        <w:rPr>
          <w:rFonts w:hint="eastAsia" w:ascii="宋体" w:hAnsi="宋体" w:eastAsia="宋体" w:cs="Times New Roman"/>
          <w:color w:val="auto"/>
          <w:sz w:val="24"/>
          <w:szCs w:val="24"/>
          <w:highlight w:val="none"/>
          <w:lang w:val="en-US" w:eastAsia="zh-CN"/>
        </w:rPr>
        <w:t>4</w:t>
      </w:r>
      <w:r>
        <w:rPr>
          <w:rFonts w:ascii="宋体" w:hAnsi="宋体" w:eastAsia="宋体" w:cs="Times New Roman"/>
          <w:color w:val="auto"/>
          <w:sz w:val="24"/>
          <w:szCs w:val="24"/>
          <w:highlight w:val="none"/>
        </w:rPr>
        <w:t>年</w:t>
      </w:r>
      <w:r>
        <w:rPr>
          <w:rFonts w:hint="eastAsia" w:ascii="宋体" w:hAnsi="宋体" w:eastAsia="宋体" w:cs="Times New Roman"/>
          <w:color w:val="auto"/>
          <w:sz w:val="24"/>
          <w:szCs w:val="24"/>
          <w:highlight w:val="none"/>
          <w:lang w:val="en-US" w:eastAsia="zh-CN"/>
        </w:rPr>
        <w:t xml:space="preserve"> 4 </w:t>
      </w:r>
      <w:r>
        <w:rPr>
          <w:rFonts w:ascii="宋体" w:hAnsi="宋体" w:eastAsia="宋体" w:cs="Times New Roman"/>
          <w:color w:val="auto"/>
          <w:sz w:val="24"/>
          <w:szCs w:val="24"/>
          <w:highlight w:val="none"/>
        </w:rPr>
        <w:t>月</w:t>
      </w:r>
      <w:r>
        <w:rPr>
          <w:rFonts w:hint="eastAsia" w:ascii="宋体" w:hAnsi="宋体" w:eastAsia="宋体" w:cs="Times New Roman"/>
          <w:color w:val="auto"/>
          <w:sz w:val="24"/>
          <w:szCs w:val="24"/>
          <w:highlight w:val="none"/>
          <w:lang w:val="en-US" w:eastAsia="zh-CN"/>
        </w:rPr>
        <w:t xml:space="preserve"> 24 </w:t>
      </w:r>
      <w:r>
        <w:rPr>
          <w:rFonts w:ascii="宋体" w:hAnsi="宋体" w:eastAsia="宋体" w:cs="Times New Roman"/>
          <w:color w:val="auto"/>
          <w:sz w:val="24"/>
          <w:szCs w:val="24"/>
          <w:highlight w:val="none"/>
        </w:rPr>
        <w:t>日时</w:t>
      </w: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0</w:t>
      </w:r>
      <w:r>
        <w:rPr>
          <w:rFonts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rPr>
        <w:t>北京时间</w:t>
      </w:r>
      <w:r>
        <w:rPr>
          <w:rFonts w:hint="eastAsia" w:ascii="宋体" w:hAnsi="宋体" w:eastAsia="宋体" w:cs="Times New Roman"/>
          <w:color w:val="auto"/>
          <w:sz w:val="24"/>
          <w:szCs w:val="24"/>
          <w:highlight w:val="none"/>
        </w:rPr>
        <w:t>)</w:t>
      </w:r>
    </w:p>
    <w:p>
      <w:pPr>
        <w:pStyle w:val="9"/>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1.比选申请文件应在参加比选时间前送达比选地，未在参加比选前送到的文件将被拒收。</w:t>
      </w:r>
    </w:p>
    <w:p>
      <w:pPr>
        <w:pStyle w:val="9"/>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2.逾期送达或没有密封的比选申请文件恕不接收。</w:t>
      </w:r>
    </w:p>
    <w:p>
      <w:pPr>
        <w:pStyle w:val="18"/>
        <w:numPr>
          <w:ilvl w:val="0"/>
          <w:numId w:val="0"/>
        </w:num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八、</w:t>
      </w:r>
      <w:r>
        <w:rPr>
          <w:rFonts w:hint="eastAsia" w:ascii="宋体" w:hAnsi="宋体" w:eastAsia="宋体" w:cs="Times New Roman"/>
          <w:b/>
          <w:color w:val="auto"/>
          <w:sz w:val="24"/>
          <w:szCs w:val="24"/>
          <w:highlight w:val="none"/>
        </w:rPr>
        <w:t>提交比选申请文件地点和比选地点</w:t>
      </w:r>
    </w:p>
    <w:p>
      <w:pPr>
        <w:pStyle w:val="9"/>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成都郫都区安德街道彭温路</w:t>
      </w:r>
      <w:r>
        <w:rPr>
          <w:rFonts w:ascii="宋体" w:hAnsi="宋体" w:eastAsia="宋体" w:cs="Times New Roman"/>
          <w:color w:val="auto"/>
          <w:sz w:val="24"/>
          <w:szCs w:val="24"/>
          <w:highlight w:val="none"/>
        </w:rPr>
        <w:t>399号四川铁道职业学院基建后勤办公区</w:t>
      </w:r>
      <w:r>
        <w:rPr>
          <w:rFonts w:hint="eastAsia" w:ascii="宋体" w:hAnsi="宋体" w:eastAsia="宋体" w:cs="Times New Roman"/>
          <w:color w:val="auto"/>
          <w:sz w:val="24"/>
          <w:szCs w:val="24"/>
          <w:highlight w:val="none"/>
        </w:rPr>
        <w:t>2</w:t>
      </w:r>
      <w:r>
        <w:rPr>
          <w:rFonts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3</w:t>
      </w:r>
      <w:r>
        <w:rPr>
          <w:rFonts w:ascii="宋体" w:hAnsi="宋体" w:eastAsia="宋体" w:cs="Times New Roman"/>
          <w:color w:val="auto"/>
          <w:sz w:val="24"/>
          <w:szCs w:val="24"/>
          <w:highlight w:val="none"/>
        </w:rPr>
        <w:t>室(</w:t>
      </w:r>
      <w:r>
        <w:rPr>
          <w:rFonts w:hint="eastAsia" w:ascii="宋体" w:hAnsi="宋体" w:eastAsia="宋体" w:cs="Times New Roman"/>
          <w:color w:val="auto"/>
          <w:sz w:val="24"/>
          <w:szCs w:val="24"/>
          <w:highlight w:val="none"/>
        </w:rPr>
        <w:t>评标室)</w:t>
      </w:r>
    </w:p>
    <w:p>
      <w:pPr>
        <w:spacing w:line="360" w:lineRule="auto"/>
        <w:ind w:firstLine="482" w:firstLineChars="200"/>
        <w:outlineLvl w:val="1"/>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九</w:t>
      </w:r>
      <w:r>
        <w:rPr>
          <w:rFonts w:ascii="宋体" w:hAnsi="宋体" w:eastAsia="宋体" w:cs="Times New Roman"/>
          <w:b/>
          <w:color w:val="auto"/>
          <w:sz w:val="24"/>
          <w:szCs w:val="24"/>
          <w:highlight w:val="none"/>
        </w:rPr>
        <w:t>、联系方式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比 选 人：四川铁道职业学院</w:t>
      </w:r>
    </w:p>
    <w:p>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地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址：成都市郫都区安德街道彭温路399号</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 系 人：贺老师、</w:t>
      </w:r>
      <w:r>
        <w:rPr>
          <w:rFonts w:hint="eastAsia" w:ascii="宋体" w:hAnsi="宋体" w:eastAsia="宋体" w:cs="Times New Roman"/>
          <w:color w:val="auto"/>
          <w:sz w:val="24"/>
          <w:szCs w:val="24"/>
          <w:highlight w:val="none"/>
          <w:lang w:val="en-US" w:eastAsia="zh-CN"/>
        </w:rPr>
        <w:t>马</w:t>
      </w:r>
      <w:r>
        <w:rPr>
          <w:rFonts w:hint="eastAsia" w:ascii="宋体" w:hAnsi="宋体" w:eastAsia="宋体" w:cs="Times New Roman"/>
          <w:color w:val="auto"/>
          <w:sz w:val="24"/>
          <w:szCs w:val="24"/>
          <w:highlight w:val="none"/>
        </w:rPr>
        <w:t>老师</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联系电话：028-68939875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6893992</w:t>
      </w:r>
      <w:r>
        <w:rPr>
          <w:rFonts w:hint="eastAsia" w:ascii="宋体" w:hAnsi="宋体" w:eastAsia="宋体" w:cs="Times New Roman"/>
          <w:color w:val="auto"/>
          <w:sz w:val="24"/>
          <w:szCs w:val="24"/>
          <w:highlight w:val="none"/>
          <w:lang w:val="en-US" w:eastAsia="zh-CN"/>
        </w:rPr>
        <w:t>0</w:t>
      </w:r>
    </w:p>
    <w:p>
      <w:pPr>
        <w:rPr>
          <w:rFonts w:ascii="宋体" w:hAnsi="宋体" w:eastAsia="宋体"/>
          <w:color w:val="auto"/>
          <w:highlight w:val="none"/>
        </w:rPr>
      </w:pPr>
      <w:r>
        <w:rPr>
          <w:rFonts w:ascii="宋体" w:hAnsi="宋体" w:eastAsia="宋体"/>
          <w:color w:val="auto"/>
          <w:highlight w:val="none"/>
        </w:rPr>
        <w:br w:type="page"/>
      </w:r>
    </w:p>
    <w:p>
      <w:pPr>
        <w:widowControl/>
        <w:spacing w:line="520" w:lineRule="exact"/>
        <w:jc w:val="center"/>
        <w:outlineLvl w:val="0"/>
        <w:rPr>
          <w:rFonts w:ascii="宋体" w:hAnsi="宋体" w:eastAsia="宋体" w:cs="仿宋"/>
          <w:b/>
          <w:color w:val="auto"/>
          <w:sz w:val="36"/>
          <w:szCs w:val="32"/>
          <w:highlight w:val="none"/>
        </w:rPr>
      </w:pPr>
      <w:bookmarkStart w:id="2" w:name="_Toc23677"/>
      <w:bookmarkStart w:id="3" w:name="_Toc18147"/>
      <w:bookmarkStart w:id="4" w:name="_Toc4075"/>
      <w:r>
        <w:rPr>
          <w:rFonts w:hint="eastAsia" w:ascii="宋体" w:hAnsi="宋体" w:eastAsia="宋体" w:cs="仿宋"/>
          <w:b/>
          <w:color w:val="auto"/>
          <w:sz w:val="36"/>
          <w:szCs w:val="32"/>
          <w:highlight w:val="none"/>
        </w:rPr>
        <w:t>第二章 比选须知</w:t>
      </w:r>
      <w:bookmarkEnd w:id="2"/>
      <w:bookmarkEnd w:id="3"/>
      <w:bookmarkEnd w:id="4"/>
    </w:p>
    <w:p>
      <w:pPr>
        <w:spacing w:line="360" w:lineRule="auto"/>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一、申请人</w:t>
      </w:r>
      <w:r>
        <w:rPr>
          <w:rFonts w:ascii="宋体" w:hAnsi="宋体" w:eastAsia="宋体" w:cs="Times New Roman"/>
          <w:b/>
          <w:color w:val="auto"/>
          <w:sz w:val="28"/>
          <w:szCs w:val="28"/>
          <w:highlight w:val="none"/>
        </w:rPr>
        <w:t>须知附表</w:t>
      </w:r>
    </w:p>
    <w:tbl>
      <w:tblPr>
        <w:tblStyle w:val="21"/>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序号</w:t>
            </w:r>
          </w:p>
        </w:tc>
        <w:tc>
          <w:tcPr>
            <w:tcW w:w="2210"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应知事项</w:t>
            </w:r>
          </w:p>
        </w:tc>
        <w:tc>
          <w:tcPr>
            <w:tcW w:w="6197" w:type="dxa"/>
            <w:vAlign w:val="center"/>
          </w:tcPr>
          <w:p>
            <w:pPr>
              <w:spacing w:line="360" w:lineRule="auto"/>
              <w:jc w:val="center"/>
              <w:rPr>
                <w:rFonts w:ascii="宋体" w:hAnsi="宋体" w:eastAsia="宋体" w:cs="仿宋"/>
                <w:b/>
                <w:bCs/>
                <w:color w:val="auto"/>
                <w:sz w:val="22"/>
                <w:highlight w:val="none"/>
              </w:rPr>
            </w:pPr>
            <w:r>
              <w:rPr>
                <w:rFonts w:hint="eastAsia" w:ascii="宋体" w:hAnsi="宋体" w:eastAsia="宋体" w:cs="仿宋"/>
                <w:b/>
                <w:bCs/>
                <w:color w:val="auto"/>
                <w:sz w:val="22"/>
                <w:highlight w:val="none"/>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24" w:type="dxa"/>
            <w:vMerge w:val="restart"/>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jc w:val="center"/>
              <w:rPr>
                <w:rFonts w:hint="eastAsia" w:ascii="宋体" w:hAnsi="宋体" w:eastAsia="宋体" w:cs="Times New Roman"/>
                <w:color w:val="auto"/>
                <w:kern w:val="0"/>
                <w:sz w:val="22"/>
                <w:highlight w:val="none"/>
                <w:lang w:val="en-US" w:eastAsia="zh-CN"/>
              </w:rPr>
            </w:pPr>
            <w:r>
              <w:rPr>
                <w:rFonts w:hint="eastAsia" w:ascii="宋体" w:hAnsi="宋体" w:eastAsia="宋体" w:cs="Times New Roman"/>
                <w:color w:val="auto"/>
                <w:kern w:val="0"/>
                <w:sz w:val="22"/>
                <w:highlight w:val="none"/>
                <w:lang w:val="en-US" w:eastAsia="zh-CN"/>
              </w:rPr>
              <w:t>比选预算</w:t>
            </w:r>
          </w:p>
          <w:p>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b/>
                <w:bCs/>
                <w:color w:val="auto"/>
                <w:kern w:val="0"/>
                <w:sz w:val="22"/>
                <w:highlight w:val="none"/>
                <w:lang w:val="zh-CN"/>
              </w:rPr>
              <w:t>（实质性要求）</w:t>
            </w:r>
          </w:p>
        </w:tc>
        <w:tc>
          <w:tcPr>
            <w:tcW w:w="6197" w:type="dxa"/>
            <w:vAlign w:val="center"/>
          </w:tcPr>
          <w:p>
            <w:pPr>
              <w:pStyle w:val="40"/>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lang w:val="en-US" w:eastAsia="zh-CN"/>
              </w:rPr>
              <w:t>18.64</w:t>
            </w:r>
            <w:r>
              <w:rPr>
                <w:rFonts w:hint="eastAsia" w:cs="Times New Roman"/>
                <w:kern w:val="2"/>
                <w:lang w:val="zh-CN"/>
              </w:rPr>
              <w:t>万元</w:t>
            </w:r>
          </w:p>
          <w:p>
            <w:pPr>
              <w:pStyle w:val="40"/>
              <w:spacing w:line="360" w:lineRule="exact"/>
              <w:ind w:left="210" w:leftChars="100"/>
              <w:jc w:val="both"/>
              <w:rPr>
                <w:rFonts w:cstheme="minorBidi"/>
                <w:bCs/>
                <w:color w:val="auto"/>
                <w:kern w:val="2"/>
                <w:sz w:val="21"/>
                <w:szCs w:val="21"/>
                <w:highlight w:val="none"/>
                <w:lang w:val="zh-CN"/>
              </w:rPr>
            </w:pPr>
            <w:r>
              <w:rPr>
                <w:rFonts w:hint="eastAsia" w:cs="Times New Roman"/>
                <w:kern w:val="2"/>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9"/>
              <w:tabs>
                <w:tab w:val="left" w:pos="220"/>
              </w:tabs>
              <w:adjustRightInd w:val="0"/>
              <w:snapToGrid w:val="0"/>
              <w:jc w:val="both"/>
              <w:rPr>
                <w:rFonts w:cs="仿宋"/>
                <w:color w:val="auto"/>
                <w:szCs w:val="21"/>
                <w:highlight w:val="none"/>
              </w:rPr>
            </w:pPr>
          </w:p>
        </w:tc>
        <w:tc>
          <w:tcPr>
            <w:tcW w:w="2210" w:type="dxa"/>
            <w:vAlign w:val="center"/>
          </w:tcPr>
          <w:p>
            <w:pPr>
              <w:spacing w:line="360" w:lineRule="exact"/>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lang w:val="zh-CN"/>
              </w:rPr>
              <w:t>最高限价</w:t>
            </w:r>
          </w:p>
          <w:p>
            <w:pPr>
              <w:spacing w:line="360" w:lineRule="exact"/>
              <w:jc w:val="center"/>
              <w:rPr>
                <w:rFonts w:hint="eastAsia" w:ascii="宋体" w:hAnsi="宋体" w:eastAsia="宋体" w:cs="Times New Roman"/>
                <w:color w:val="auto"/>
                <w:kern w:val="0"/>
                <w:sz w:val="22"/>
                <w:szCs w:val="22"/>
                <w:highlight w:val="none"/>
                <w:lang w:val="zh-CN" w:eastAsia="zh-CN" w:bidi="ar-SA"/>
              </w:rPr>
            </w:pPr>
            <w:r>
              <w:rPr>
                <w:rFonts w:hint="eastAsia" w:ascii="宋体" w:hAnsi="宋体" w:eastAsia="宋体" w:cs="Times New Roman"/>
                <w:b/>
                <w:bCs/>
                <w:color w:val="auto"/>
                <w:kern w:val="0"/>
                <w:sz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人民币</w:t>
            </w:r>
            <w:r>
              <w:rPr>
                <w:rFonts w:hint="eastAsia" w:cs="Times New Roman"/>
                <w:kern w:val="2"/>
                <w:lang w:val="en-US" w:eastAsia="zh-CN"/>
              </w:rPr>
              <w:t>18.64</w:t>
            </w:r>
            <w:r>
              <w:rPr>
                <w:rFonts w:hint="eastAsia" w:cs="Times New Roman"/>
                <w:kern w:val="2"/>
                <w:lang w:val="zh-CN"/>
              </w:rPr>
              <w:t>万元</w:t>
            </w:r>
          </w:p>
          <w:p>
            <w:pPr>
              <w:pStyle w:val="40"/>
              <w:spacing w:line="360" w:lineRule="exact"/>
              <w:ind w:left="210" w:leftChars="100"/>
              <w:jc w:val="both"/>
              <w:rPr>
                <w:rFonts w:hint="eastAsia" w:cs="Times New Roman"/>
                <w:kern w:val="2"/>
                <w:lang w:val="zh-CN" w:eastAsia="zh-CN"/>
              </w:rPr>
            </w:pPr>
            <w:r>
              <w:rPr>
                <w:rFonts w:hint="eastAsia" w:cs="Times New Roman"/>
                <w:kern w:val="2"/>
                <w:lang w:val="zh-CN"/>
              </w:rPr>
              <w:t>超过最高限价的报价，其比选申请文件作无效处理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cs="Times New Roman"/>
                <w:color w:val="auto"/>
                <w:sz w:val="22"/>
                <w:szCs w:val="22"/>
                <w:highlight w:val="none"/>
                <w:lang w:val="zh-CN"/>
              </w:rPr>
              <w:t>不正当竞争预防措施</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比选评审委员会认为申请人的报价明显低于其他通过符合性</w:t>
            </w:r>
            <w:r>
              <w:rPr>
                <w:rFonts w:hint="eastAsia" w:cs="Times New Roman"/>
                <w:kern w:val="2"/>
                <w:lang w:val="en-US" w:eastAsia="zh-CN"/>
              </w:rPr>
              <w:t>审</w:t>
            </w:r>
            <w:r>
              <w:rPr>
                <w:rFonts w:hint="eastAsia" w:cs="Times New Roman"/>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rPr>
            </w:pPr>
            <w:r>
              <w:rPr>
                <w:rFonts w:hint="eastAsia" w:cs="Times New Roman"/>
                <w:color w:val="auto"/>
                <w:sz w:val="22"/>
                <w:szCs w:val="22"/>
                <w:highlight w:val="none"/>
              </w:rPr>
              <w:t>信用记录查询</w:t>
            </w:r>
          </w:p>
          <w:p>
            <w:pPr>
              <w:pStyle w:val="40"/>
              <w:spacing w:line="360" w:lineRule="exact"/>
              <w:jc w:val="center"/>
              <w:rPr>
                <w:rFonts w:cs="Times New Roman"/>
                <w:b/>
                <w:bCs/>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（1）比选人通过</w:t>
            </w:r>
          </w:p>
          <w:p>
            <w:pPr>
              <w:pStyle w:val="40"/>
              <w:spacing w:line="360" w:lineRule="exact"/>
              <w:ind w:left="210" w:leftChars="100"/>
              <w:jc w:val="both"/>
              <w:rPr>
                <w:rFonts w:hint="eastAsia" w:cs="Times New Roman"/>
                <w:kern w:val="2"/>
                <w:lang w:val="zh-CN"/>
              </w:rPr>
            </w:pPr>
            <w:r>
              <w:rPr>
                <w:rFonts w:hint="eastAsia" w:cs="Times New Roman"/>
                <w:kern w:val="2"/>
                <w:lang w:val="zh-CN"/>
              </w:rPr>
              <w:t>信用中国（</w:t>
            </w:r>
            <w:r>
              <w:rPr>
                <w:rFonts w:hint="eastAsia" w:cs="Times New Roman"/>
                <w:kern w:val="2"/>
                <w:lang w:val="zh-CN"/>
              </w:rPr>
              <w:fldChar w:fldCharType="begin"/>
            </w:r>
            <w:r>
              <w:rPr>
                <w:rFonts w:hint="eastAsia" w:cs="Times New Roman"/>
                <w:kern w:val="2"/>
                <w:lang w:val="zh-CN"/>
              </w:rPr>
              <w:instrText xml:space="preserve"> HYPERLINK "http://www.creditchina.gov.cn）、中国政府采购网（www.ccgp.gov.cn）" </w:instrText>
            </w:r>
            <w:r>
              <w:rPr>
                <w:rFonts w:hint="eastAsia" w:cs="Times New Roman"/>
                <w:kern w:val="2"/>
                <w:lang w:val="zh-CN"/>
              </w:rP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40"/>
              <w:spacing w:line="360" w:lineRule="exact"/>
              <w:ind w:left="210" w:leftChars="100"/>
              <w:jc w:val="both"/>
              <w:rPr>
                <w:rFonts w:hint="eastAsia" w:cs="Times New Roman"/>
                <w:kern w:val="2"/>
                <w:lang w:val="zh-CN"/>
              </w:rPr>
            </w:pPr>
            <w:r>
              <w:rPr>
                <w:rFonts w:hint="eastAsia" w:cs="Times New Roman"/>
                <w:kern w:val="2"/>
                <w:lang w:val="zh-CN"/>
              </w:rPr>
              <w:t>（2）查询时间：本项目资格审查时；</w:t>
            </w:r>
          </w:p>
          <w:p>
            <w:pPr>
              <w:pStyle w:val="40"/>
              <w:spacing w:line="360" w:lineRule="exact"/>
              <w:ind w:left="210" w:leftChars="100"/>
              <w:jc w:val="both"/>
              <w:rPr>
                <w:rFonts w:hint="eastAsia" w:cs="Times New Roman"/>
                <w:kern w:val="2"/>
                <w:lang w:val="zh-CN"/>
              </w:rPr>
            </w:pPr>
            <w:r>
              <w:rPr>
                <w:rFonts w:hint="eastAsia" w:cs="Times New Roman"/>
                <w:kern w:val="2"/>
                <w:lang w:val="zh-CN"/>
              </w:rPr>
              <w:t>（3）查询记录和证据留存的具体方式：与比选文件一并保存；</w:t>
            </w:r>
          </w:p>
          <w:p>
            <w:pPr>
              <w:pStyle w:val="40"/>
              <w:spacing w:line="360" w:lineRule="exact"/>
              <w:ind w:left="210" w:leftChars="100"/>
              <w:jc w:val="both"/>
              <w:rPr>
                <w:rFonts w:hint="eastAsia" w:cs="Times New Roman"/>
                <w:kern w:val="2"/>
                <w:lang w:val="zh-CN"/>
              </w:rPr>
            </w:pPr>
            <w:r>
              <w:rPr>
                <w:rFonts w:hint="eastAsia" w:cs="Times New Roman"/>
                <w:kern w:val="2"/>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w:t>
            </w:r>
            <w:r>
              <w:rPr>
                <w:rFonts w:cs="Times New Roman"/>
                <w:color w:val="auto"/>
                <w:sz w:val="22"/>
                <w:szCs w:val="22"/>
                <w:highlight w:val="none"/>
                <w:lang w:val="zh-CN"/>
              </w:rPr>
              <w:t>有效期</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合同分包</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联合体</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比选方法</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比选申请文件的份数</w:t>
            </w:r>
          </w:p>
          <w:p>
            <w:pPr>
              <w:pStyle w:val="40"/>
              <w:spacing w:line="360" w:lineRule="exact"/>
              <w:jc w:val="center"/>
              <w:rPr>
                <w:rFonts w:cs="Times New Roman"/>
                <w:color w:val="auto"/>
                <w:sz w:val="22"/>
                <w:szCs w:val="22"/>
                <w:highlight w:val="none"/>
                <w:lang w:val="zh-CN"/>
              </w:rPr>
            </w:pPr>
            <w:r>
              <w:rPr>
                <w:rFonts w:hint="eastAsia" w:cs="Times New Roman"/>
                <w:b/>
                <w:bCs/>
                <w:color w:val="auto"/>
                <w:sz w:val="22"/>
                <w:szCs w:val="22"/>
                <w:highlight w:val="none"/>
                <w:lang w:val="zh-CN"/>
              </w:rPr>
              <w:t>（实质性要求）</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现场踏勘和答疑</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pStyle w:val="40"/>
              <w:spacing w:line="360" w:lineRule="exact"/>
              <w:jc w:val="center"/>
              <w:rPr>
                <w:rFonts w:cs="Times New Roman"/>
                <w:color w:val="auto"/>
                <w:sz w:val="22"/>
                <w:szCs w:val="22"/>
                <w:highlight w:val="none"/>
                <w:lang w:val="zh-CN"/>
              </w:rPr>
            </w:pPr>
            <w:r>
              <w:rPr>
                <w:rFonts w:hint="eastAsia" w:cs="Times New Roman"/>
                <w:color w:val="auto"/>
                <w:sz w:val="22"/>
                <w:szCs w:val="22"/>
                <w:highlight w:val="none"/>
                <w:lang w:val="zh-CN"/>
              </w:rPr>
              <w:t>比选文件咨询</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ind w:left="105" w:leftChars="50" w:right="105" w:rightChars="50"/>
              <w:jc w:val="center"/>
              <w:rPr>
                <w:rFonts w:ascii="宋体" w:hAnsi="宋体" w:eastAsia="宋体" w:cs="Times New Roman"/>
                <w:color w:val="auto"/>
                <w:kern w:val="0"/>
                <w:sz w:val="22"/>
                <w:highlight w:val="none"/>
                <w:lang w:val="zh-CN"/>
              </w:rPr>
            </w:pPr>
            <w:r>
              <w:rPr>
                <w:rFonts w:hint="eastAsia" w:ascii="宋体" w:hAnsi="宋体" w:eastAsia="宋体" w:cs="Times New Roman"/>
                <w:color w:val="auto"/>
                <w:kern w:val="0"/>
                <w:sz w:val="22"/>
                <w:highlight w:val="none"/>
              </w:rPr>
              <w:t>比选结果</w:t>
            </w:r>
            <w:r>
              <w:rPr>
                <w:rFonts w:hint="eastAsia" w:ascii="宋体" w:hAnsi="宋体" w:eastAsia="宋体" w:cs="Times New Roman"/>
                <w:color w:val="auto"/>
                <w:kern w:val="0"/>
                <w:sz w:val="22"/>
                <w:highlight w:val="none"/>
                <w:lang w:val="zh-CN"/>
              </w:rPr>
              <w:t>公告</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9"/>
              <w:numPr>
                <w:ilvl w:val="0"/>
                <w:numId w:val="3"/>
              </w:numPr>
              <w:tabs>
                <w:tab w:val="left" w:pos="220"/>
                <w:tab w:val="clear" w:pos="0"/>
              </w:tabs>
              <w:adjustRightInd w:val="0"/>
              <w:snapToGrid w:val="0"/>
              <w:jc w:val="both"/>
              <w:rPr>
                <w:rFonts w:cs="仿宋"/>
                <w:color w:val="auto"/>
                <w:szCs w:val="21"/>
                <w:highlight w:val="none"/>
              </w:rPr>
            </w:pPr>
          </w:p>
        </w:tc>
        <w:tc>
          <w:tcPr>
            <w:tcW w:w="2210" w:type="dxa"/>
            <w:vAlign w:val="center"/>
          </w:tcPr>
          <w:p>
            <w:pPr>
              <w:spacing w:line="360" w:lineRule="exact"/>
              <w:jc w:val="center"/>
              <w:rPr>
                <w:rFonts w:ascii="宋体" w:hAnsi="宋体" w:eastAsia="宋体" w:cs="Times New Roman"/>
                <w:b/>
                <w:bCs/>
                <w:color w:val="auto"/>
                <w:kern w:val="0"/>
                <w:sz w:val="22"/>
                <w:highlight w:val="none"/>
                <w:lang w:val="zh-CN"/>
              </w:rPr>
            </w:pPr>
            <w:r>
              <w:rPr>
                <w:rFonts w:hint="eastAsia" w:ascii="宋体" w:hAnsi="宋体" w:eastAsia="宋体" w:cs="Times New Roman"/>
                <w:color w:val="auto"/>
                <w:kern w:val="0"/>
                <w:sz w:val="22"/>
                <w:highlight w:val="none"/>
                <w:lang w:val="zh-CN"/>
              </w:rPr>
              <w:t>说明</w:t>
            </w:r>
          </w:p>
        </w:tc>
        <w:tc>
          <w:tcPr>
            <w:tcW w:w="6197" w:type="dxa"/>
            <w:vAlign w:val="center"/>
          </w:tcPr>
          <w:p>
            <w:pPr>
              <w:pStyle w:val="40"/>
              <w:spacing w:line="360" w:lineRule="exact"/>
              <w:ind w:left="210" w:leftChars="100"/>
              <w:jc w:val="both"/>
              <w:rPr>
                <w:rFonts w:hint="eastAsia"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二、总则</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（一）适用范围</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本比选文件仅适用于本次公开比选所叙述的货物和服务项目采购。</w:t>
      </w:r>
    </w:p>
    <w:p>
      <w:pPr>
        <w:spacing w:line="360" w:lineRule="auto"/>
        <w:ind w:firstLine="482" w:firstLineChars="200"/>
        <w:outlineLvl w:val="2"/>
        <w:rPr>
          <w:rFonts w:ascii="宋体" w:hAnsi="宋体" w:eastAsia="宋体" w:cs="Times New Roman"/>
          <w:b/>
          <w:color w:val="auto"/>
          <w:sz w:val="24"/>
          <w:szCs w:val="24"/>
          <w:highlight w:val="none"/>
        </w:rPr>
      </w:pPr>
      <w:bookmarkStart w:id="5" w:name="_Toc217446035"/>
      <w:r>
        <w:rPr>
          <w:rFonts w:hint="eastAsia" w:ascii="宋体" w:hAnsi="宋体" w:eastAsia="宋体" w:cs="Times New Roman"/>
          <w:b/>
          <w:color w:val="auto"/>
          <w:sz w:val="24"/>
          <w:szCs w:val="24"/>
          <w:highlight w:val="none"/>
        </w:rPr>
        <w:t>（二）</w:t>
      </w:r>
      <w:bookmarkEnd w:id="5"/>
      <w:r>
        <w:rPr>
          <w:rFonts w:hint="eastAsia" w:ascii="宋体" w:hAnsi="宋体" w:eastAsia="宋体" w:cs="Times New Roman"/>
          <w:b/>
          <w:color w:val="auto"/>
          <w:sz w:val="24"/>
          <w:szCs w:val="24"/>
          <w:highlight w:val="none"/>
        </w:rPr>
        <w:t>比选主体</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1.“比选人”系指四川铁道职业学院。</w:t>
      </w:r>
    </w:p>
    <w:p>
      <w:pPr>
        <w:spacing w:line="360" w:lineRule="auto"/>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2.“申请人”系指拟参加比选和向比选人提供货物及相应服务的比选申请人。</w:t>
      </w:r>
    </w:p>
    <w:p>
      <w:pPr>
        <w:spacing w:line="360" w:lineRule="auto"/>
        <w:ind w:firstLine="482" w:firstLineChars="200"/>
        <w:outlineLvl w:val="2"/>
        <w:rPr>
          <w:rFonts w:ascii="宋体" w:hAnsi="宋体" w:eastAsia="宋体"/>
          <w:color w:val="auto"/>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三</w:t>
      </w: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有关定义</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1.比选文件所称的“以上”、“以下”、“以内”、“届满”，包括本数；所称的“不满”、“超过”、“以外”，不包括本数。</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四</w:t>
      </w:r>
      <w:r>
        <w:rPr>
          <w:rFonts w:ascii="宋体" w:hAnsi="宋体" w:eastAsia="宋体" w:cs="Times New Roman"/>
          <w:b/>
          <w:color w:val="auto"/>
          <w:sz w:val="24"/>
          <w:szCs w:val="24"/>
          <w:highlight w:val="none"/>
        </w:rPr>
        <w:t>）合格的</w:t>
      </w:r>
      <w:r>
        <w:rPr>
          <w:rFonts w:hint="eastAsia" w:ascii="宋体" w:hAnsi="宋体" w:eastAsia="宋体" w:cs="Times New Roman"/>
          <w:b/>
          <w:color w:val="auto"/>
          <w:sz w:val="24"/>
          <w:szCs w:val="24"/>
          <w:highlight w:val="none"/>
        </w:rPr>
        <w:t>申请人（实质性要求）</w:t>
      </w:r>
    </w:p>
    <w:p>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1.具备“比选邀请”基本条件；</w:t>
      </w:r>
    </w:p>
    <w:p>
      <w:pPr>
        <w:tabs>
          <w:tab w:val="left" w:pos="7665"/>
        </w:tabs>
        <w:spacing w:line="5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2.遵守国家有关的法律、法规和条例；</w:t>
      </w:r>
    </w:p>
    <w:p>
      <w:pPr>
        <w:tabs>
          <w:tab w:val="left" w:pos="7665"/>
        </w:tabs>
        <w:spacing w:line="520" w:lineRule="exact"/>
        <w:ind w:firstLine="480" w:firstLineChars="200"/>
        <w:rPr>
          <w:rFonts w:ascii="宋体" w:hAnsi="宋体" w:eastAsia="宋体"/>
          <w:color w:val="auto"/>
          <w:sz w:val="24"/>
          <w:highlight w:val="none"/>
        </w:rPr>
      </w:pPr>
      <w:r>
        <w:rPr>
          <w:rFonts w:hint="eastAsia" w:ascii="宋体" w:hAnsi="宋体" w:eastAsia="宋体" w:cs="Times New Roman"/>
          <w:color w:val="auto"/>
          <w:sz w:val="24"/>
          <w:highlight w:val="none"/>
        </w:rPr>
        <w:t>3.比选文件和法律、行政法规规定的其他条件。</w:t>
      </w:r>
    </w:p>
    <w:p>
      <w:pPr>
        <w:spacing w:line="360" w:lineRule="auto"/>
        <w:ind w:firstLine="482" w:firstLineChars="200"/>
        <w:outlineLvl w:val="2"/>
        <w:rPr>
          <w:rFonts w:ascii="宋体" w:hAnsi="宋体" w:eastAsia="宋体" w:cs="Times New Roman"/>
          <w:b/>
          <w:color w:val="auto"/>
          <w:sz w:val="24"/>
          <w:szCs w:val="24"/>
          <w:highlight w:val="none"/>
        </w:rPr>
      </w:pPr>
      <w:r>
        <w:rPr>
          <w:rFonts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rPr>
        <w:t>五</w:t>
      </w:r>
      <w:r>
        <w:rPr>
          <w:rFonts w:ascii="宋体" w:hAnsi="宋体" w:eastAsia="宋体" w:cs="Times New Roman"/>
          <w:b/>
          <w:color w:val="auto"/>
          <w:sz w:val="24"/>
          <w:szCs w:val="24"/>
          <w:highlight w:val="none"/>
        </w:rPr>
        <w:t>）参与</w:t>
      </w:r>
      <w:r>
        <w:rPr>
          <w:rFonts w:hint="eastAsia" w:ascii="宋体" w:hAnsi="宋体" w:eastAsia="宋体" w:cs="Times New Roman"/>
          <w:b/>
          <w:color w:val="auto"/>
          <w:sz w:val="24"/>
          <w:szCs w:val="24"/>
          <w:highlight w:val="none"/>
        </w:rPr>
        <w:t>比选</w:t>
      </w:r>
      <w:r>
        <w:rPr>
          <w:rFonts w:ascii="宋体" w:hAnsi="宋体" w:eastAsia="宋体" w:cs="Times New Roman"/>
          <w:b/>
          <w:color w:val="auto"/>
          <w:sz w:val="24"/>
          <w:szCs w:val="24"/>
          <w:highlight w:val="none"/>
        </w:rPr>
        <w:t>的费用</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申请人应自行承担参加比选活动的一切费用。</w:t>
      </w:r>
    </w:p>
    <w:p>
      <w:pPr>
        <w:spacing w:line="360" w:lineRule="auto"/>
        <w:ind w:firstLine="482" w:firstLineChars="200"/>
        <w:outlineLvl w:val="2"/>
        <w:rPr>
          <w:rFonts w:ascii="宋体" w:hAnsi="宋体" w:eastAsia="宋体"/>
          <w:b/>
          <w:color w:val="auto"/>
          <w:sz w:val="24"/>
          <w:highlight w:val="none"/>
        </w:rPr>
      </w:pPr>
      <w:r>
        <w:rPr>
          <w:rFonts w:ascii="宋体" w:hAnsi="宋体" w:eastAsia="宋体"/>
          <w:b/>
          <w:color w:val="auto"/>
          <w:sz w:val="24"/>
          <w:highlight w:val="none"/>
        </w:rPr>
        <w:t>（</w:t>
      </w:r>
      <w:r>
        <w:rPr>
          <w:rFonts w:hint="eastAsia" w:ascii="宋体" w:hAnsi="宋体" w:eastAsia="宋体"/>
          <w:b/>
          <w:color w:val="auto"/>
          <w:sz w:val="24"/>
          <w:highlight w:val="none"/>
        </w:rPr>
        <w:t>六</w:t>
      </w:r>
      <w:r>
        <w:rPr>
          <w:rFonts w:ascii="宋体" w:hAnsi="宋体" w:eastAsia="宋体"/>
          <w:b/>
          <w:color w:val="auto"/>
          <w:sz w:val="24"/>
          <w:highlight w:val="none"/>
        </w:rPr>
        <w:t>）联合体响应</w:t>
      </w:r>
      <w:r>
        <w:rPr>
          <w:rFonts w:hint="eastAsia" w:ascii="宋体" w:hAnsi="宋体" w:eastAsia="宋体"/>
          <w:b/>
          <w:color w:val="auto"/>
          <w:sz w:val="24"/>
          <w:highlight w:val="none"/>
        </w:rPr>
        <w:t>（实质性要求）</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1.本项目是否接受联合体响应，以“申请人须知附表”为准。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ascii="宋体" w:hAnsi="宋体" w:eastAsia="宋体"/>
          <w:b/>
          <w:color w:val="auto"/>
          <w:sz w:val="24"/>
          <w:highlight w:val="none"/>
        </w:rPr>
        <w:t>（</w:t>
      </w:r>
      <w:r>
        <w:rPr>
          <w:rFonts w:hint="eastAsia" w:ascii="宋体" w:hAnsi="宋体" w:eastAsia="宋体"/>
          <w:b/>
          <w:color w:val="auto"/>
          <w:sz w:val="24"/>
          <w:highlight w:val="none"/>
        </w:rPr>
        <w:t>以下仅适用</w:t>
      </w:r>
      <w:r>
        <w:rPr>
          <w:rFonts w:ascii="宋体" w:hAnsi="宋体" w:eastAsia="宋体"/>
          <w:b/>
          <w:color w:val="auto"/>
          <w:sz w:val="24"/>
          <w:highlight w:val="none"/>
        </w:rPr>
        <w:t>接受联合体响应</w:t>
      </w:r>
      <w:r>
        <w:rPr>
          <w:rFonts w:hint="eastAsia" w:ascii="宋体" w:hAnsi="宋体" w:eastAsia="宋体"/>
          <w:b/>
          <w:color w:val="auto"/>
          <w:sz w:val="24"/>
          <w:highlight w:val="none"/>
        </w:rPr>
        <w:t>的情形</w:t>
      </w:r>
      <w:r>
        <w:rPr>
          <w:rFonts w:ascii="宋体" w:hAnsi="宋体" w:eastAsia="宋体"/>
          <w:b/>
          <w:color w:val="auto"/>
          <w:sz w:val="24"/>
          <w:highlight w:val="none"/>
        </w:rPr>
        <w:t>）</w:t>
      </w:r>
      <w:r>
        <w:rPr>
          <w:rFonts w:hint="eastAsia" w:ascii="宋体" w:hAnsi="宋体" w:eastAsia="宋体" w:cs="Times New Roman"/>
          <w:color w:val="auto"/>
          <w:sz w:val="24"/>
          <w:szCs w:val="24"/>
          <w:highlight w:val="none"/>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4.联合体应当确定其中一个单位为比选的全权代表，负责参加比选的一切事务。</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t>三、</w:t>
      </w:r>
      <w:r>
        <w:rPr>
          <w:rFonts w:hint="eastAsia" w:ascii="宋体" w:hAnsi="宋体" w:eastAsia="宋体" w:cs="Times New Roman"/>
          <w:b/>
          <w:color w:val="auto"/>
          <w:sz w:val="28"/>
          <w:szCs w:val="28"/>
          <w:highlight w:val="none"/>
        </w:rPr>
        <w:t>比选</w:t>
      </w:r>
      <w:r>
        <w:rPr>
          <w:rFonts w:ascii="宋体" w:hAnsi="宋体" w:eastAsia="宋体" w:cs="Times New Roman"/>
          <w:b/>
          <w:color w:val="auto"/>
          <w:sz w:val="28"/>
          <w:szCs w:val="28"/>
          <w:highlight w:val="none"/>
        </w:rPr>
        <w:t>文件</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（一）比选文件的构成</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682348"/>
      <w:bookmarkStart w:id="7" w:name="_Toc183582211"/>
      <w:bookmarkStart w:id="8" w:name="_Toc217446040"/>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（二）比选文件的澄清</w:t>
      </w:r>
      <w:bookmarkEnd w:id="6"/>
      <w:bookmarkEnd w:id="7"/>
      <w:r>
        <w:rPr>
          <w:rFonts w:hint="eastAsia" w:ascii="宋体" w:hAnsi="宋体" w:eastAsia="宋体" w:cs="Times New Roman"/>
          <w:b/>
          <w:color w:val="auto"/>
          <w:sz w:val="24"/>
          <w:szCs w:val="24"/>
          <w:highlight w:val="none"/>
        </w:rPr>
        <w:t>和修改</w:t>
      </w:r>
      <w:bookmarkEnd w:id="8"/>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1.在提交比选申请文件截止时间前，比选人可以对比选文件进行澄清或者修改。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2.比选人对已发出的比选文件进行澄清或者修改，比选人将在网上发布更正公告。</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四、比选申请文件</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（一）比选申请文件的组成</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1.申请人应按照比选文件的规定和要求编制比选申请文件。</w:t>
      </w:r>
      <w:r>
        <w:rPr>
          <w:rFonts w:hint="eastAsia" w:ascii="宋体" w:hAnsi="宋体" w:eastAsia="宋体" w:cs="Times New Roman"/>
          <w:b/>
          <w:bCs/>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（二）比选申请文件的语言（实质性要求）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3.如因未翻译而造成的比选申请文件无效风险，由申请人承担。</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4.比选申请文件对不同文字文本的解释发生异议的，以中文文本为准。</w:t>
      </w:r>
      <w:bookmarkStart w:id="9" w:name="_Toc183582216"/>
      <w:bookmarkStart w:id="10" w:name="_Toc217446044"/>
      <w:bookmarkStart w:id="11" w:name="_Toc183682353"/>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（三）计量单位</w:t>
      </w:r>
      <w:bookmarkEnd w:id="9"/>
      <w:bookmarkEnd w:id="10"/>
      <w:bookmarkEnd w:id="11"/>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b/>
          <w:bCs/>
          <w:color w:val="auto"/>
          <w:sz w:val="24"/>
          <w:highlight w:val="none"/>
        </w:rPr>
      </w:pPr>
      <w:r>
        <w:rPr>
          <w:rFonts w:hint="eastAsia" w:ascii="宋体" w:hAnsi="宋体" w:eastAsia="宋体" w:cs="Times New Roman"/>
          <w:color w:val="auto"/>
          <w:sz w:val="24"/>
          <w:szCs w:val="24"/>
          <w:highlight w:val="none"/>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（四）报价（实质性要求）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1.本次比选项目的报价货币为人民币，报价以比选文件规定为准。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（五）比选申请文件有效期（实质性要求）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（六）知识产权（实质性要求）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2.除非比选文件特别规定，比选人享有本项目实施过程中产生的知识成果及知识产权。</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（七）比选申请文件格式</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1.申请人应执行比选文件第六章的规定要求。</w:t>
      </w:r>
    </w:p>
    <w:p>
      <w:pPr>
        <w:spacing w:line="360" w:lineRule="auto"/>
        <w:ind w:firstLine="480" w:firstLineChars="200"/>
        <w:rPr>
          <w:rFonts w:ascii="宋体" w:hAnsi="宋体" w:eastAsia="宋体" w:cs="Times New Roman"/>
          <w:b/>
          <w:color w:val="auto"/>
          <w:sz w:val="24"/>
          <w:szCs w:val="24"/>
          <w:highlight w:val="none"/>
        </w:rPr>
      </w:pPr>
      <w:r>
        <w:rPr>
          <w:rFonts w:hint="eastAsia" w:ascii="宋体" w:hAnsi="宋体" w:eastAsia="宋体" w:cs="Times New Roman"/>
          <w:color w:val="auto"/>
          <w:sz w:val="24"/>
          <w:szCs w:val="24"/>
          <w:highlight w:val="none"/>
        </w:rPr>
        <w:t>2.对于没有格式要求的比选文件由申请人自行编写。</w:t>
      </w:r>
    </w:p>
    <w:p>
      <w:pPr>
        <w:pStyle w:val="5"/>
        <w:keepNext w:val="0"/>
        <w:keepLines w:val="0"/>
        <w:spacing w:before="0" w:after="0" w:line="360" w:lineRule="auto"/>
        <w:ind w:firstLine="482"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（八）比选申请文件的编制和签署</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1.比选申请文件正本1份。</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3.比选申请文件应根据比选文件的要求签署、盖章。</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4.比选申请文件正本可采用打印或用不褪色、不变质的墨水书写。</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color w:val="auto"/>
          <w:sz w:val="24"/>
          <w:szCs w:val="32"/>
          <w:highlight w:val="none"/>
        </w:rPr>
        <w:t>（实质性要求）</w:t>
      </w:r>
    </w:p>
    <w:p>
      <w:pPr>
        <w:spacing w:line="360" w:lineRule="auto"/>
        <w:ind w:firstLine="480" w:firstLineChars="200"/>
        <w:rPr>
          <w:rFonts w:ascii="宋体" w:hAnsi="宋体" w:eastAsia="宋体" w:cs="Times New Roman"/>
          <w:b/>
          <w:bCs/>
          <w:color w:val="auto"/>
          <w:sz w:val="24"/>
          <w:szCs w:val="24"/>
          <w:highlight w:val="none"/>
        </w:rPr>
      </w:pPr>
      <w:r>
        <w:rPr>
          <w:rFonts w:hint="eastAsia" w:ascii="宋体" w:hAnsi="宋体" w:eastAsia="宋体" w:cs="Times New Roman"/>
          <w:color w:val="auto"/>
          <w:sz w:val="24"/>
          <w:szCs w:val="24"/>
          <w:highlight w:val="none"/>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color w:val="auto"/>
          <w:sz w:val="24"/>
          <w:szCs w:val="24"/>
          <w:highlight w:val="none"/>
        </w:rPr>
        <w:t>（实质性要求）</w:t>
      </w:r>
    </w:p>
    <w:p>
      <w:pPr>
        <w:spacing w:line="360" w:lineRule="auto"/>
        <w:ind w:firstLine="480" w:firstLineChars="200"/>
        <w:rPr>
          <w:rFonts w:ascii="宋体" w:hAnsi="宋体" w:eastAsia="宋体"/>
          <w:b/>
          <w:color w:val="auto"/>
          <w:sz w:val="24"/>
          <w:highlight w:val="none"/>
        </w:rPr>
      </w:pPr>
      <w:r>
        <w:rPr>
          <w:rFonts w:hint="eastAsia" w:ascii="宋体" w:hAnsi="宋体" w:eastAsia="宋体" w:cs="Times New Roman"/>
          <w:color w:val="auto"/>
          <w:sz w:val="24"/>
          <w:szCs w:val="24"/>
          <w:highlight w:val="none"/>
        </w:rPr>
        <w:t>7.比选申请文件正本可以采用A4幅面纸胶装方式装订成册并逐页编码。</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（九）比选申请文件的密封</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1.比选申请文件所有外层应当密封完好。</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2.未密封的比选申请文件，比选人将拒收或者在法定时间允许的范围内，要求修改完善后接收。</w:t>
      </w:r>
      <w:r>
        <w:rPr>
          <w:rFonts w:hint="eastAsia" w:ascii="宋体" w:hAnsi="宋体" w:eastAsia="宋体" w:cs="Times New Roman"/>
          <w:b/>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（十）比选申请文件的提交</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1.比选申请文件应在提交首次比选申请文件截止时间前送达。</w:t>
      </w:r>
      <w:r>
        <w:rPr>
          <w:rFonts w:hint="eastAsia" w:ascii="宋体" w:hAnsi="宋体" w:eastAsia="宋体" w:cs="Times New Roman"/>
          <w:b/>
          <w:color w:val="auto"/>
          <w:sz w:val="24"/>
          <w:szCs w:val="24"/>
          <w:highlight w:val="none"/>
        </w:rPr>
        <w:t>（实质性要求）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2.逾期送达或者未密封的比选申请文件，必选人应当拒收。</w:t>
      </w:r>
      <w:r>
        <w:rPr>
          <w:rFonts w:hint="eastAsia" w:ascii="宋体" w:hAnsi="宋体" w:eastAsia="宋体" w:cs="Times New Roman"/>
          <w:b/>
          <w:color w:val="auto"/>
          <w:sz w:val="24"/>
          <w:szCs w:val="24"/>
          <w:highlight w:val="none"/>
        </w:rPr>
        <w:t>（实质性要求）</w:t>
      </w:r>
    </w:p>
    <w:p>
      <w:pPr>
        <w:spacing w:line="360" w:lineRule="auto"/>
        <w:ind w:firstLine="482" w:firstLineChars="200"/>
        <w:outlineLvl w:val="2"/>
        <w:rPr>
          <w:rFonts w:ascii="宋体" w:hAnsi="宋体" w:eastAsia="宋体" w:cs="Times New Roman"/>
          <w:b/>
          <w:color w:val="auto"/>
          <w:sz w:val="24"/>
          <w:szCs w:val="24"/>
          <w:highlight w:val="none"/>
        </w:rPr>
      </w:pPr>
      <w:bookmarkStart w:id="12" w:name="_Toc183682365"/>
      <w:bookmarkStart w:id="13" w:name="_Toc217446055"/>
      <w:bookmarkStart w:id="14" w:name="_Toc183582228"/>
      <w:r>
        <w:rPr>
          <w:rFonts w:hint="eastAsia" w:ascii="宋体" w:hAnsi="宋体" w:eastAsia="宋体" w:cs="Times New Roman"/>
          <w:b/>
          <w:color w:val="auto"/>
          <w:sz w:val="24"/>
          <w:szCs w:val="24"/>
          <w:highlight w:val="none"/>
        </w:rPr>
        <w:t>（十一）比选申请文件的修改和撤回</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1.申请人不得在提交截止时间起至比选申请文件有效期期满前撤回其比选申请文件。</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2.申请人对其提交的比选申请文件的真实性、合法性承担法律责任。</w:t>
      </w:r>
      <w:bookmarkEnd w:id="12"/>
      <w:bookmarkEnd w:id="13"/>
      <w:bookmarkEnd w:id="14"/>
    </w:p>
    <w:p>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五、比选会</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2.比选会时，比选人对比选申请文件的密封情况进行检查。</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3.当众宣布检查比选申请文件的密封情况。</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4.宣布比选会结束。主持人宣布比选会结束后，所有申请人代表应立即退场。</w:t>
      </w:r>
    </w:p>
    <w:p>
      <w:pPr>
        <w:tabs>
          <w:tab w:val="left" w:pos="7665"/>
        </w:tabs>
        <w:spacing w:line="520" w:lineRule="exact"/>
        <w:ind w:firstLine="562" w:firstLineChars="2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六、比选评审</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（一）比选评审</w:t>
      </w:r>
    </w:p>
    <w:p>
      <w:pPr>
        <w:spacing w:line="360" w:lineRule="auto"/>
        <w:ind w:firstLine="480" w:firstLineChars="200"/>
        <w:rPr>
          <w:rFonts w:ascii="宋体" w:hAnsi="宋体" w:eastAsia="宋体" w:cs="Times New Roman"/>
          <w:b/>
          <w:color w:val="auto"/>
          <w:sz w:val="28"/>
          <w:szCs w:val="28"/>
          <w:highlight w:val="none"/>
        </w:rPr>
      </w:pPr>
      <w:r>
        <w:rPr>
          <w:rFonts w:hint="eastAsia" w:ascii="宋体" w:hAnsi="宋体" w:eastAsia="宋体" w:cs="Times New Roman"/>
          <w:color w:val="auto"/>
          <w:sz w:val="24"/>
          <w:szCs w:val="24"/>
          <w:highlight w:val="none"/>
        </w:rPr>
        <w:t>详见第五章</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（二）成交通知书</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1.成交通知书为签订采购合同的依据之一，是合同的有效组成部分。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七、合同事项</w:t>
      </w:r>
    </w:p>
    <w:p>
      <w:pPr>
        <w:spacing w:line="360" w:lineRule="auto"/>
        <w:ind w:firstLine="482" w:firstLineChars="200"/>
        <w:outlineLvl w:val="2"/>
        <w:rPr>
          <w:rFonts w:ascii="宋体" w:hAnsi="宋体" w:eastAsia="宋体" w:cs="Times New Roman"/>
          <w:b/>
          <w:color w:val="auto"/>
          <w:sz w:val="24"/>
          <w:szCs w:val="24"/>
          <w:highlight w:val="none"/>
        </w:rPr>
      </w:pPr>
      <w:bookmarkStart w:id="15" w:name="_Toc101338364"/>
      <w:bookmarkStart w:id="16" w:name="_Toc101174151"/>
      <w:bookmarkStart w:id="17" w:name="_Toc430773927"/>
      <w:bookmarkStart w:id="18" w:name="_Toc101250646"/>
      <w:bookmarkStart w:id="19" w:name="_Toc209847069"/>
      <w:r>
        <w:rPr>
          <w:rFonts w:hint="eastAsia" w:ascii="宋体" w:hAnsi="宋体" w:eastAsia="宋体" w:cs="Times New Roman"/>
          <w:b/>
          <w:color w:val="auto"/>
          <w:sz w:val="24"/>
          <w:szCs w:val="24"/>
          <w:highlight w:val="none"/>
        </w:rPr>
        <w:t>（一）签订合同</w:t>
      </w:r>
      <w:bookmarkEnd w:id="15"/>
      <w:bookmarkEnd w:id="16"/>
      <w:bookmarkEnd w:id="17"/>
      <w:bookmarkEnd w:id="18"/>
      <w:bookmarkEnd w:id="19"/>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（二）履行合同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color w:val="auto"/>
          <w:sz w:val="24"/>
          <w:highlight w:val="none"/>
        </w:rPr>
      </w:pPr>
      <w:r>
        <w:rPr>
          <w:rFonts w:hint="eastAsia" w:ascii="宋体" w:hAnsi="宋体" w:eastAsia="宋体" w:cs="Times New Roman"/>
          <w:color w:val="auto"/>
          <w:sz w:val="24"/>
          <w:szCs w:val="24"/>
          <w:highlight w:val="none"/>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（三）验收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（四）合同价款支付</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比选纪律要求（实质性要求）</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（一）申请人纪律要求</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（二）申请人禁止性行为，申请人参加本项目比选不得具有以下情形：</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（1）提供虚假材料谋取中选；</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（2）采取不正当手段诋毁、排挤其他申请人；</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（3）与比选人、比选代理机构、或其他申请人恶意串通；</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（4）向比选人、比选代理机构、比选评审委员会成员行贿或者提供其他不正当利益；</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（5）在比选过程中与比选人、比选代理机构进行协商；</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（6）中选后无正当理由拒不与比选人签订采购合同；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（7）未按照比选文件确定的事项签订采购合同；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（8）将采购合同转包或者违规分包；</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（9）提供假冒伪劣产品；</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（10）擅自变更、中止或者终止采购合同；</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（11）拒绝有关部门的监督检查或者向监督检查部门提供虚假情况；</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（12）法律法规规定的其他情形。</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color w:val="auto"/>
          <w:sz w:val="24"/>
          <w:szCs w:val="24"/>
          <w:highlight w:val="none"/>
        </w:rPr>
      </w:pPr>
      <w:r>
        <w:rPr>
          <w:rFonts w:hint="eastAsia" w:ascii="宋体" w:hAnsi="宋体" w:eastAsia="宋体" w:cs="Times New Roman"/>
          <w:b/>
          <w:color w:val="auto"/>
          <w:sz w:val="28"/>
          <w:szCs w:val="28"/>
          <w:highlight w:val="none"/>
        </w:rPr>
        <w:t>九、其他</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color w:val="auto"/>
          <w:highlight w:val="none"/>
        </w:rPr>
      </w:pPr>
      <w:r>
        <w:rPr>
          <w:rFonts w:hint="eastAsia" w:ascii="宋体" w:hAnsi="宋体" w:eastAsia="宋体" w:cs="Times New Roman"/>
          <w:color w:val="auto"/>
          <w:sz w:val="24"/>
          <w:szCs w:val="24"/>
          <w:highlight w:val="none"/>
        </w:rPr>
        <w:t>（三）本项目涉及企业资质、产品认证、人员执业资格、行业标准等描述与国家最新要求不一致时以国家最新要求为准。</w:t>
      </w:r>
    </w:p>
    <w:p>
      <w:pPr>
        <w:rPr>
          <w:rFonts w:ascii="宋体" w:hAnsi="宋体" w:eastAsia="宋体"/>
          <w:color w:val="auto"/>
          <w:highlight w:val="none"/>
        </w:rPr>
      </w:pPr>
      <w:r>
        <w:rPr>
          <w:rFonts w:ascii="宋体" w:hAnsi="宋体" w:eastAsia="宋体"/>
          <w:color w:val="auto"/>
          <w:highlight w:val="none"/>
        </w:rPr>
        <w:br w:type="page"/>
      </w:r>
    </w:p>
    <w:p>
      <w:pPr>
        <w:spacing w:line="360" w:lineRule="auto"/>
        <w:jc w:val="center"/>
        <w:outlineLvl w:val="0"/>
        <w:rPr>
          <w:rFonts w:ascii="宋体" w:hAnsi="宋体" w:eastAsia="宋体"/>
          <w:bCs/>
          <w:color w:val="auto"/>
          <w:sz w:val="36"/>
          <w:szCs w:val="36"/>
          <w:highlight w:val="none"/>
        </w:rPr>
      </w:pPr>
      <w:bookmarkStart w:id="20" w:name="_Toc28291"/>
      <w:r>
        <w:rPr>
          <w:rFonts w:ascii="宋体" w:hAnsi="宋体" w:eastAsia="宋体"/>
          <w:b/>
          <w:color w:val="auto"/>
          <w:sz w:val="36"/>
          <w:szCs w:val="36"/>
          <w:highlight w:val="none"/>
        </w:rPr>
        <w:t>第</w:t>
      </w:r>
      <w:r>
        <w:rPr>
          <w:rFonts w:hint="eastAsia" w:ascii="宋体" w:hAnsi="宋体" w:eastAsia="宋体"/>
          <w:b/>
          <w:color w:val="auto"/>
          <w:sz w:val="36"/>
          <w:szCs w:val="36"/>
          <w:highlight w:val="none"/>
        </w:rPr>
        <w:t>三</w:t>
      </w:r>
      <w:r>
        <w:rPr>
          <w:rFonts w:ascii="宋体" w:hAnsi="宋体" w:eastAsia="宋体"/>
          <w:b/>
          <w:color w:val="auto"/>
          <w:sz w:val="36"/>
          <w:szCs w:val="36"/>
          <w:highlight w:val="none"/>
        </w:rPr>
        <w:t>章</w:t>
      </w:r>
      <w:r>
        <w:rPr>
          <w:rFonts w:hint="eastAsia" w:ascii="宋体" w:hAnsi="宋体" w:eastAsia="宋体"/>
          <w:b/>
          <w:color w:val="auto"/>
          <w:sz w:val="36"/>
          <w:szCs w:val="36"/>
          <w:highlight w:val="none"/>
        </w:rPr>
        <w:t xml:space="preserve"> 资格条件要求以及应当提供的资格证明材料</w:t>
      </w:r>
      <w:bookmarkEnd w:id="20"/>
    </w:p>
    <w:p>
      <w:pPr>
        <w:widowControl/>
        <w:spacing w:line="360" w:lineRule="atLeast"/>
        <w:ind w:firstLine="470" w:firstLineChars="196"/>
        <w:rPr>
          <w:rFonts w:ascii="宋体" w:hAnsi="宋体" w:eastAsia="宋体"/>
          <w:color w:val="auto"/>
          <w:sz w:val="24"/>
          <w:highlight w:val="none"/>
        </w:rPr>
      </w:pPr>
    </w:p>
    <w:tbl>
      <w:tblPr>
        <w:tblStyle w:val="22"/>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序号</w:t>
            </w:r>
          </w:p>
        </w:tc>
        <w:tc>
          <w:tcPr>
            <w:tcW w:w="1351"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ascii="宋体" w:hAnsi="宋体" w:eastAsia="宋体" w:cs="Times New Roman"/>
                <w:b/>
                <w:color w:val="auto"/>
                <w:kern w:val="0"/>
                <w:sz w:val="24"/>
                <w:szCs w:val="24"/>
                <w:highlight w:val="none"/>
              </w:rPr>
              <w:t>本项目的资格要求</w:t>
            </w:r>
          </w:p>
        </w:tc>
        <w:tc>
          <w:tcPr>
            <w:tcW w:w="3259" w:type="pct"/>
            <w:vAlign w:val="center"/>
          </w:tcPr>
          <w:p>
            <w:pPr>
              <w:adjustRightInd w:val="0"/>
              <w:spacing w:line="360" w:lineRule="exact"/>
              <w:jc w:val="center"/>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申请人</w:t>
            </w:r>
            <w:r>
              <w:rPr>
                <w:rFonts w:ascii="宋体" w:hAnsi="宋体" w:eastAsia="宋体" w:cs="Times New Roman"/>
                <w:b/>
                <w:color w:val="auto"/>
                <w:kern w:val="0"/>
                <w:sz w:val="24"/>
                <w:szCs w:val="24"/>
                <w:highlight w:val="none"/>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1</w:t>
            </w:r>
          </w:p>
        </w:tc>
        <w:tc>
          <w:tcPr>
            <w:tcW w:w="1351" w:type="pct"/>
            <w:vAlign w:val="center"/>
          </w:tcPr>
          <w:p>
            <w:pPr>
              <w:spacing w:line="360" w:lineRule="exact"/>
              <w:jc w:val="center"/>
              <w:rPr>
                <w:rFonts w:ascii="宋体" w:hAnsi="宋体" w:eastAsia="宋体" w:cs="Times New Roman"/>
                <w:bCs/>
                <w:color w:val="auto"/>
                <w:kern w:val="0"/>
                <w:szCs w:val="21"/>
                <w:highlight w:val="none"/>
              </w:rPr>
            </w:pPr>
            <w:r>
              <w:rPr>
                <w:rFonts w:ascii="宋体" w:hAnsi="宋体" w:eastAsia="宋体" w:cs="Times New Roman"/>
                <w:b/>
                <w:color w:val="auto"/>
                <w:kern w:val="0"/>
                <w:szCs w:val="21"/>
                <w:highlight w:val="none"/>
              </w:rPr>
              <w:t>具有独立承担民事责任的能力</w:t>
            </w:r>
          </w:p>
        </w:tc>
        <w:tc>
          <w:tcPr>
            <w:tcW w:w="3259" w:type="pct"/>
            <w:vAlign w:val="center"/>
          </w:tcPr>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（3）若为其他组织：提供“对应主管部门颁发的准许执业证明文件或营业执照”；</w:t>
            </w:r>
          </w:p>
          <w:p>
            <w:pPr>
              <w:adjustRightInd w:val="0"/>
              <w:spacing w:line="360" w:lineRule="exact"/>
              <w:jc w:val="left"/>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2</w:t>
            </w:r>
          </w:p>
        </w:tc>
        <w:tc>
          <w:tcPr>
            <w:tcW w:w="1351" w:type="pct"/>
            <w:vAlign w:val="center"/>
          </w:tcPr>
          <w:p>
            <w:pPr>
              <w:spacing w:line="36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具有健全的财务会计制度</w:t>
            </w:r>
          </w:p>
        </w:tc>
        <w:tc>
          <w:tcPr>
            <w:tcW w:w="3259" w:type="pct"/>
            <w:vAlign w:val="center"/>
          </w:tcPr>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
                <w:color w:val="auto"/>
                <w:kern w:val="0"/>
                <w:szCs w:val="21"/>
                <w:highlight w:val="none"/>
              </w:rPr>
              <w:t>申请人根据自身情况选择提供其中任意一项：</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（1）可提供202</w:t>
            </w: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年度经审计的财务报告复印件（包含审计报告和审计报告中所涉及的财务报表和报表附注）；</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（2）也可提供申请人内部的202</w:t>
            </w:r>
            <w:r>
              <w:rPr>
                <w:rFonts w:hint="eastAsia" w:ascii="宋体" w:hAnsi="宋体" w:eastAsia="宋体" w:cs="Times New Roman"/>
                <w:bCs/>
                <w:color w:val="auto"/>
                <w:kern w:val="0"/>
                <w:szCs w:val="21"/>
                <w:highlight w:val="none"/>
                <w:lang w:val="en-US" w:eastAsia="zh-CN"/>
              </w:rPr>
              <w:t>2</w:t>
            </w:r>
            <w:r>
              <w:rPr>
                <w:rFonts w:hint="eastAsia" w:ascii="宋体" w:hAnsi="宋体" w:eastAsia="宋体" w:cs="Times New Roman"/>
                <w:bCs/>
                <w:color w:val="auto"/>
                <w:kern w:val="0"/>
                <w:szCs w:val="21"/>
                <w:highlight w:val="none"/>
              </w:rPr>
              <w:t>或202</w:t>
            </w:r>
            <w:r>
              <w:rPr>
                <w:rFonts w:hint="eastAsia" w:ascii="宋体" w:hAnsi="宋体" w:eastAsia="宋体" w:cs="Times New Roman"/>
                <w:bCs/>
                <w:color w:val="auto"/>
                <w:kern w:val="0"/>
                <w:szCs w:val="21"/>
                <w:highlight w:val="none"/>
                <w:lang w:val="en-US" w:eastAsia="zh-CN"/>
              </w:rPr>
              <w:t>3</w:t>
            </w:r>
            <w:r>
              <w:rPr>
                <w:rFonts w:hint="eastAsia" w:ascii="宋体" w:hAnsi="宋体" w:eastAsia="宋体" w:cs="Times New Roman"/>
                <w:bCs/>
                <w:color w:val="auto"/>
                <w:kern w:val="0"/>
                <w:szCs w:val="21"/>
                <w:highlight w:val="none"/>
              </w:rPr>
              <w:t>年度财务报表复印件（至少包含资产负债表）；</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（3）也可提供截至提交首次比选申请文件截止日一年内银行出具的资信证明（复印件）；</w:t>
            </w:r>
          </w:p>
          <w:p>
            <w:pPr>
              <w:adjustRightInd w:val="0"/>
              <w:spacing w:line="360" w:lineRule="exact"/>
              <w:jc w:val="lef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（4）申请人注册时间截至提交首次比选申请文件截止日不足一年的，也可提供工商管理部门备案的（复印件）；</w:t>
            </w:r>
          </w:p>
          <w:p>
            <w:pPr>
              <w:adjustRightInd w:val="0"/>
              <w:spacing w:line="360" w:lineRule="exact"/>
              <w:jc w:val="left"/>
              <w:rPr>
                <w:rFonts w:hint="eastAsia" w:ascii="宋体" w:hAnsi="宋体" w:eastAsia="宋体" w:cs="Times New Roman"/>
                <w:bCs/>
                <w:color w:val="auto"/>
                <w:kern w:val="0"/>
                <w:szCs w:val="21"/>
                <w:highlight w:val="none"/>
                <w:lang w:val="en-US" w:eastAsia="zh-CN"/>
              </w:rPr>
            </w:pPr>
            <w:r>
              <w:rPr>
                <w:rFonts w:hint="eastAsia" w:ascii="宋体" w:hAnsi="宋体" w:eastAsia="宋体" w:cs="Times New Roman"/>
                <w:bCs/>
                <w:color w:val="auto"/>
                <w:kern w:val="0"/>
                <w:szCs w:val="21"/>
                <w:highlight w:val="none"/>
              </w:rPr>
              <w:t>（5）申请人为个体工商户或自然人时，可提供承诺函</w:t>
            </w:r>
            <w:r>
              <w:rPr>
                <w:rFonts w:hint="eastAsia" w:ascii="宋体" w:hAnsi="宋体" w:eastAsia="宋体" w:cs="Times New Roman"/>
                <w:bCs/>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3</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具有良好的商业信誉</w:t>
            </w:r>
            <w:r>
              <w:rPr>
                <w:rFonts w:hint="eastAsia" w:ascii="宋体" w:hAnsi="宋体" w:eastAsia="宋体" w:cs="Times New Roman"/>
                <w:b/>
                <w:color w:val="auto"/>
                <w:kern w:val="0"/>
                <w:szCs w:val="21"/>
                <w:highlight w:val="none"/>
              </w:rPr>
              <w:t>和</w:t>
            </w:r>
            <w:r>
              <w:rPr>
                <w:rFonts w:ascii="宋体" w:hAnsi="宋体" w:eastAsia="宋体" w:cs="Times New Roman"/>
                <w:b/>
                <w:color w:val="auto"/>
                <w:kern w:val="0"/>
                <w:szCs w:val="21"/>
                <w:highlight w:val="none"/>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统一</w:t>
            </w:r>
            <w:r>
              <w:rPr>
                <w:rFonts w:ascii="宋体" w:hAnsi="宋体" w:eastAsia="宋体" w:cs="Times New Roman"/>
                <w:bCs/>
                <w:color w:val="auto"/>
                <w:kern w:val="0"/>
                <w:szCs w:val="21"/>
                <w:highlight w:val="none"/>
              </w:rPr>
              <w:t>提供承诺函</w:t>
            </w:r>
          </w:p>
          <w:p>
            <w:pPr>
              <w:adjustRightInd w:val="0"/>
              <w:spacing w:line="24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4</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5</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6</w:t>
            </w:r>
          </w:p>
        </w:tc>
        <w:tc>
          <w:tcPr>
            <w:tcW w:w="1351" w:type="pct"/>
            <w:vAlign w:val="center"/>
          </w:tcPr>
          <w:p>
            <w:pPr>
              <w:spacing w:line="300" w:lineRule="exact"/>
              <w:jc w:val="center"/>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7</w:t>
            </w:r>
          </w:p>
        </w:tc>
        <w:tc>
          <w:tcPr>
            <w:tcW w:w="1351" w:type="pct"/>
            <w:vAlign w:val="center"/>
          </w:tcPr>
          <w:p>
            <w:pPr>
              <w:spacing w:line="360" w:lineRule="exact"/>
              <w:jc w:val="center"/>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（2）法定代表人/单位负责人参与比选时只须提供法定代表人/单位负责人身份证复印件</w:t>
            </w:r>
          </w:p>
        </w:tc>
      </w:tr>
    </w:tbl>
    <w:p>
      <w:pPr>
        <w:rPr>
          <w:rFonts w:ascii="宋体" w:hAnsi="宋体" w:eastAsia="宋体"/>
          <w:color w:val="auto"/>
          <w:highlight w:val="none"/>
        </w:rPr>
      </w:pPr>
      <w:r>
        <w:rPr>
          <w:rFonts w:ascii="宋体" w:hAnsi="宋体" w:eastAsia="宋体"/>
          <w:color w:val="auto"/>
          <w:highlight w:val="none"/>
        </w:rPr>
        <w:br w:type="page"/>
      </w:r>
    </w:p>
    <w:p>
      <w:pPr>
        <w:pStyle w:val="3"/>
        <w:spacing w:before="0" w:after="0" w:line="240" w:lineRule="auto"/>
        <w:jc w:val="center"/>
        <w:rPr>
          <w:rFonts w:ascii="宋体" w:hAnsi="宋体" w:eastAsia="宋体" w:cstheme="minorBidi"/>
          <w:b/>
          <w:bCs w:val="0"/>
          <w:color w:val="auto"/>
          <w:kern w:val="2"/>
          <w:sz w:val="36"/>
          <w:szCs w:val="36"/>
          <w:highlight w:val="none"/>
          <w:lang w:val="en-US" w:eastAsia="zh-CN" w:bidi="ar-SA"/>
        </w:rPr>
      </w:pPr>
      <w:bookmarkStart w:id="21" w:name="_Toc23416"/>
      <w:bookmarkStart w:id="22" w:name="_Toc13420"/>
      <w:bookmarkStart w:id="23" w:name="_Toc22092"/>
      <w:bookmarkStart w:id="24" w:name="_Toc18798"/>
      <w:r>
        <w:rPr>
          <w:rFonts w:ascii="宋体" w:hAnsi="宋体" w:eastAsia="宋体" w:cstheme="minorBidi"/>
          <w:b/>
          <w:bCs w:val="0"/>
          <w:color w:val="auto"/>
          <w:kern w:val="2"/>
          <w:sz w:val="36"/>
          <w:szCs w:val="36"/>
          <w:highlight w:val="none"/>
          <w:lang w:val="en-US" w:eastAsia="zh-CN" w:bidi="ar-SA"/>
        </w:rPr>
        <w:t xml:space="preserve">第四章 </w:t>
      </w:r>
      <w:bookmarkEnd w:id="21"/>
      <w:bookmarkEnd w:id="22"/>
      <w:r>
        <w:rPr>
          <w:rFonts w:hint="eastAsia" w:ascii="宋体" w:hAnsi="宋体" w:eastAsia="宋体" w:cstheme="minorBidi"/>
          <w:b/>
          <w:bCs w:val="0"/>
          <w:color w:val="auto"/>
          <w:kern w:val="2"/>
          <w:sz w:val="36"/>
          <w:szCs w:val="36"/>
          <w:highlight w:val="none"/>
          <w:lang w:val="en-US" w:eastAsia="zh-CN" w:bidi="ar-SA"/>
        </w:rPr>
        <w:t>比选内容及要求</w:t>
      </w:r>
      <w:bookmarkEnd w:id="23"/>
      <w:bookmarkStart w:id="25" w:name="_Toc31717"/>
    </w:p>
    <w:p>
      <w:p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rPr>
      </w:pPr>
      <w:r>
        <w:rPr>
          <w:rFonts w:hint="eastAsia" w:ascii="宋体" w:hAnsi="宋体" w:eastAsia="宋体" w:cs="Times New Roman"/>
          <w:color w:val="auto"/>
          <w:sz w:val="24"/>
          <w:szCs w:val="24"/>
          <w:highlight w:val="none"/>
          <w:lang w:val="zh-CN"/>
        </w:rPr>
        <w:t>一、</w:t>
      </w:r>
      <w:r>
        <w:rPr>
          <w:rFonts w:hint="eastAsia" w:ascii="宋体" w:hAnsi="宋体" w:eastAsia="宋体" w:cs="仿宋"/>
          <w:b/>
          <w:bCs/>
          <w:color w:val="auto"/>
          <w:sz w:val="28"/>
          <w:szCs w:val="24"/>
          <w:highlight w:val="none"/>
          <w:lang w:val="zh-CN"/>
        </w:rPr>
        <w:t>项目概述</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CN"/>
        </w:rPr>
      </w:pPr>
      <w:r>
        <w:rPr>
          <w:rFonts w:hint="eastAsia" w:ascii="宋体" w:hAnsi="宋体" w:eastAsia="宋体" w:cs="宋体"/>
          <w:color w:val="auto"/>
          <w:spacing w:val="0"/>
          <w:position w:val="0"/>
          <w:sz w:val="24"/>
          <w:szCs w:val="24"/>
          <w:highlight w:val="none"/>
          <w:lang w:val="zh-CN" w:eastAsia="zh-TW"/>
        </w:rPr>
        <w:t>需监理服务的</w:t>
      </w:r>
      <w:r>
        <w:rPr>
          <w:rFonts w:hint="eastAsia" w:ascii="宋体" w:hAnsi="宋体" w:eastAsia="宋体" w:cs="宋体"/>
          <w:color w:val="auto"/>
          <w:spacing w:val="0"/>
          <w:position w:val="0"/>
          <w:sz w:val="24"/>
          <w:szCs w:val="24"/>
          <w:highlight w:val="none"/>
          <w:lang w:val="en-US" w:eastAsia="zh-CN"/>
        </w:rPr>
        <w:t>项目介绍：安德校区食堂改造项目概算225万元，改造面积约685平方米。既有建筑改造为厨房、蔬菜加工间、肉类加工间、主食库、副食库、备餐间、收碗间、更衣间等食堂后厨用房。以及形成300个餐位的就餐区、自助取餐区等功能性区域。动车考培基地建设配套项目概算340万元，修建简易钢结构用房，建筑面积约1025平方米，含考评室、视频指挥室、驾驶适应性测评室、虚拟仿真室等。提供驾驶培训、模拟驾驶考核等考试培训服务。内江校区3、4号学生宿舍概算120万元，依据相关房屋鉴定报告，对学校内江校区建筑面积约6195平方米的建筑主体结构进行加固维修处理。运动场看台改造预算20.9万元，基层打磨约1200平方米看台地面，用丙烯酸地坪漆修补地面约1200平方米，安装看台座位1456个。</w:t>
      </w:r>
    </w:p>
    <w:p>
      <w:pPr>
        <w:numPr>
          <w:ilvl w:val="0"/>
          <w:numId w:val="0"/>
        </w:numPr>
        <w:wordWrap/>
        <w:topLinePunct w:val="0"/>
        <w:bidi w:val="0"/>
        <w:spacing w:line="360" w:lineRule="auto"/>
        <w:jc w:val="left"/>
        <w:textAlignment w:val="auto"/>
        <w:outlineLvl w:val="1"/>
        <w:rPr>
          <w:rFonts w:hint="eastAsia" w:ascii="宋体" w:hAnsi="宋体" w:eastAsia="宋体" w:cs="仿宋"/>
          <w:b/>
          <w:bCs/>
          <w:color w:val="auto"/>
          <w:sz w:val="28"/>
          <w:szCs w:val="24"/>
          <w:highlight w:val="none"/>
          <w:lang w:val="zh-CN" w:eastAsia="zh-CN"/>
        </w:rPr>
      </w:pPr>
      <w:r>
        <w:rPr>
          <w:rFonts w:hint="eastAsia" w:ascii="宋体" w:hAnsi="宋体" w:eastAsia="宋体" w:cs="仿宋"/>
          <w:b/>
          <w:bCs/>
          <w:color w:val="auto"/>
          <w:sz w:val="28"/>
          <w:szCs w:val="24"/>
          <w:highlight w:val="none"/>
          <w:lang w:val="en-US" w:eastAsia="zh-CN"/>
        </w:rPr>
        <w:t>二、技术及服务</w:t>
      </w:r>
      <w:r>
        <w:rPr>
          <w:rFonts w:hint="eastAsia" w:ascii="宋体" w:hAnsi="宋体" w:eastAsia="宋体" w:cs="仿宋"/>
          <w:b/>
          <w:bCs/>
          <w:color w:val="auto"/>
          <w:sz w:val="28"/>
          <w:szCs w:val="24"/>
          <w:highlight w:val="none"/>
          <w:lang w:val="zh-CN" w:eastAsia="zh-CN"/>
        </w:rPr>
        <w:t>要求</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（一）内容：</w:t>
      </w:r>
      <w:r>
        <w:rPr>
          <w:rFonts w:hint="eastAsia" w:ascii="宋体" w:hAnsi="宋体" w:eastAsia="宋体" w:cs="宋体"/>
          <w:color w:val="auto"/>
          <w:spacing w:val="0"/>
          <w:position w:val="0"/>
          <w:sz w:val="24"/>
          <w:szCs w:val="24"/>
          <w:highlight w:val="none"/>
          <w:lang w:val="en-US" w:eastAsia="zh-CN"/>
        </w:rPr>
        <w:t>对修缮项目</w:t>
      </w:r>
      <w:r>
        <w:rPr>
          <w:rFonts w:hint="eastAsia" w:ascii="宋体" w:hAnsi="宋体" w:eastAsia="宋体" w:cs="宋体"/>
          <w:color w:val="auto"/>
          <w:spacing w:val="0"/>
          <w:position w:val="0"/>
          <w:sz w:val="24"/>
          <w:szCs w:val="24"/>
          <w:highlight w:val="none"/>
          <w:lang w:val="zh-TW" w:eastAsia="zh-TW"/>
        </w:rPr>
        <w:t>全过程施工及前期准备工作所涉及的安全、质量、进度、造价、环保控制，按照工程项目监理职责履行施工现场、合同、信息、生产要素、竣工验收、工程后期等管理工作。</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1.设计方面</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（1）核查施工图，发现问题向委托人反映，重大问题向委托人做专题报告。</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（2）主持或与委托人联合主持设计技术交底会议，编写会议纪要。</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（3）协助委托人会同设计人员对重大技术问题和优化设计进行专题讨论。</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（4）审核承包人对施工图的意见和建议，协助委托人会同设计人员进行研究。</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2.采购方面</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w:t>
      </w:r>
      <w:r>
        <w:rPr>
          <w:rFonts w:hint="eastAsia" w:ascii="宋体" w:hAnsi="宋体" w:eastAsia="宋体" w:cs="宋体"/>
          <w:color w:val="auto"/>
          <w:spacing w:val="0"/>
          <w:position w:val="0"/>
          <w:sz w:val="24"/>
          <w:szCs w:val="24"/>
          <w:highlight w:val="none"/>
          <w:lang w:val="en-US" w:eastAsia="zh-CN"/>
        </w:rPr>
        <w:t>1</w:t>
      </w:r>
      <w:r>
        <w:rPr>
          <w:rFonts w:hint="eastAsia" w:ascii="宋体" w:hAnsi="宋体" w:eastAsia="宋体" w:cs="宋体"/>
          <w:color w:val="auto"/>
          <w:spacing w:val="0"/>
          <w:position w:val="0"/>
          <w:sz w:val="24"/>
          <w:szCs w:val="24"/>
          <w:highlight w:val="none"/>
          <w:lang w:val="zh-TW" w:eastAsia="zh-TW"/>
        </w:rPr>
        <w:t>）协助委托人对进场的工程设备进行质量检验与到货验收。</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val="zh-TW" w:eastAsia="zh-TW"/>
        </w:rPr>
        <w:t>）其他相关业务。</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3.施工方面</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（1）协助委托人进行工程施工招标和签订工程施工合同。</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（2）全面管理工程施工合同，并报委托人批准。</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（3）检查承包人的开工准备工作。</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（4）审核按工程施工合同文件约定应由承包人提交的设计文件。</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（5）审查承包人提交的施工组织设计、施工进度计划、施工措施计划；审核工艺试验成果等。</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（6）进度控制。审批承包人编制的进度计划；检查实施情况，督促承包人采取措施，实现合同工期目标。当实施进度发生较大偏差时，要求承包人调整进度计划；向委托人提出调整控制性进度计划的建议意见。</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7）施工质量控制。审查承包人的质量保证体系和措施；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（8）资金控制。协助委托人编制付款计划；审查承包人提交的资金流计划；核定承包人完成的工程量，审核承包人提交的支付申请，签发付款凭证；受理索赔申请，提出处理建议意见；处理工程变更。</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（9）施工安全控制。审查承包人提出的安全技术措施、专项施工方案，并检查实施情况；检查防洪度汛措施落实情况；参与安全事故调查。</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（10）协调施工合同各方之间的关系。</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 xml:space="preserve">（11）按有关规定参加工程验收，负责完成监理资料的汇总、整理，协助委托人检查承包人的合同执行情况；做好验收的各项准备工作或者配合工作，提供工程监理资料，提交监理工作报告。 </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（12）档案管理。做好施工现场的监理记录与信息反馈，做好监理文档管理工作，合同期限届满时按照档案管理要求整理、归档并移交委托人。</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（13）监督承包人执行保修期工作计划，检查和验收尾工项目，对已移交工程中出现的质量缺陷等调查原因并提出处理意见。</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（14）按照委托人签订的工程保险合同，做好施工现场工程保险合同的管理。协助委托人向保险公司及时提供一切必要的材料和证据。</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zh-TW" w:eastAsia="zh-TW"/>
        </w:rPr>
      </w:pPr>
      <w:r>
        <w:rPr>
          <w:rFonts w:hint="eastAsia" w:ascii="宋体" w:hAnsi="宋体" w:eastAsia="宋体" w:cs="宋体"/>
          <w:color w:val="auto"/>
          <w:spacing w:val="0"/>
          <w:position w:val="0"/>
          <w:sz w:val="24"/>
          <w:szCs w:val="24"/>
          <w:highlight w:val="none"/>
          <w:lang w:val="zh-TW" w:eastAsia="zh-TW"/>
        </w:rPr>
        <w:t>（15）其他相关工作。</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（二）监理机构人员要求：</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1.在总监理工程师领导下，配置能胜任相应监理任务的监理小组；</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2.派驻到工程所在地履行监理服务的主要人员应与响应文件附表中报送的人员名单及人数一致；</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3.监理机构人员未经业主同意不得更换；</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4.监理机构人员须常驻现场，其中总监理工程师施工期间每月不少于15天，其它专业监理工程师和监理人员在施工期间至少有一人在现场工作，临时监理任务接委托方通知不超过4小时到达现场。</w:t>
      </w:r>
    </w:p>
    <w:p>
      <w:pPr>
        <w:wordWrap/>
        <w:topLinePunct w:val="0"/>
        <w:bidi w:val="0"/>
        <w:spacing w:line="360" w:lineRule="auto"/>
        <w:textAlignment w:val="auto"/>
        <w:outlineLvl w:val="1"/>
        <w:rPr>
          <w:rFonts w:hint="eastAsia" w:ascii="宋体" w:hAnsi="宋体" w:eastAsia="宋体" w:cs="Times New Roman"/>
          <w:color w:val="auto"/>
          <w:sz w:val="24"/>
          <w:szCs w:val="24"/>
          <w:highlight w:val="none"/>
          <w:lang w:val="zh-CN"/>
        </w:rPr>
      </w:pPr>
      <w:r>
        <w:rPr>
          <w:rFonts w:hint="eastAsia" w:ascii="宋体" w:hAnsi="宋体" w:eastAsia="宋体" w:cs="仿宋"/>
          <w:b/>
          <w:bCs/>
          <w:color w:val="auto"/>
          <w:sz w:val="28"/>
          <w:szCs w:val="24"/>
          <w:highlight w:val="none"/>
          <w:lang w:val="en-US" w:eastAsia="zh-CN"/>
        </w:rPr>
        <w:t>三</w:t>
      </w:r>
      <w:r>
        <w:rPr>
          <w:rFonts w:hint="eastAsia" w:ascii="宋体" w:hAnsi="宋体" w:eastAsia="宋体" w:cs="仿宋"/>
          <w:b/>
          <w:bCs/>
          <w:color w:val="auto"/>
          <w:sz w:val="28"/>
          <w:szCs w:val="24"/>
          <w:highlight w:val="none"/>
          <w:lang w:val="zh-CN"/>
        </w:rPr>
        <w:t>、商务要求（实质性要求）</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Hans"/>
        </w:rPr>
      </w:pPr>
      <w:r>
        <w:rPr>
          <w:rFonts w:hint="eastAsia" w:ascii="宋体" w:hAnsi="宋体" w:eastAsia="宋体" w:cs="宋体"/>
          <w:color w:val="auto"/>
          <w:spacing w:val="0"/>
          <w:position w:val="0"/>
          <w:sz w:val="24"/>
          <w:szCs w:val="24"/>
          <w:highlight w:val="none"/>
          <w:lang w:val="en-US" w:eastAsia="zh-Hans"/>
        </w:rPr>
        <w:t>（一）履约时间：合同签订后至</w:t>
      </w:r>
      <w:r>
        <w:rPr>
          <w:rFonts w:hint="eastAsia" w:ascii="宋体" w:hAnsi="宋体" w:eastAsia="宋体" w:cs="宋体"/>
          <w:color w:val="auto"/>
          <w:spacing w:val="0"/>
          <w:position w:val="0"/>
          <w:sz w:val="24"/>
          <w:szCs w:val="24"/>
          <w:highlight w:val="none"/>
          <w:lang w:val="en-US" w:eastAsia="zh-CN"/>
        </w:rPr>
        <w:t>项目审核结算完毕</w:t>
      </w:r>
      <w:r>
        <w:rPr>
          <w:rFonts w:hint="eastAsia" w:ascii="宋体" w:hAnsi="宋体" w:eastAsia="宋体" w:cs="宋体"/>
          <w:color w:val="auto"/>
          <w:spacing w:val="0"/>
          <w:position w:val="0"/>
          <w:sz w:val="24"/>
          <w:szCs w:val="24"/>
          <w:highlight w:val="none"/>
          <w:lang w:val="en-US" w:eastAsia="zh-Hans"/>
        </w:rPr>
        <w:t>。</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Hans"/>
        </w:rPr>
      </w:pPr>
      <w:r>
        <w:rPr>
          <w:rFonts w:hint="eastAsia" w:ascii="宋体" w:hAnsi="宋体" w:eastAsia="宋体" w:cs="宋体"/>
          <w:color w:val="auto"/>
          <w:spacing w:val="0"/>
          <w:position w:val="0"/>
          <w:sz w:val="24"/>
          <w:szCs w:val="24"/>
          <w:highlight w:val="none"/>
          <w:lang w:val="en-US" w:eastAsia="zh-Hans"/>
        </w:rPr>
        <w:t>（二）服务地点：四川铁道职业学院校园内。</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（三）最高限价及报价：</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1.报价：工程施工监理服务收费参照发改价格</w:t>
      </w:r>
      <w:r>
        <w:rPr>
          <w:rFonts w:hint="eastAsia" w:ascii="宋体" w:hAnsi="宋体" w:eastAsia="宋体" w:cs="宋体"/>
          <w:color w:val="auto"/>
          <w:spacing w:val="0"/>
          <w:position w:val="0"/>
          <w:sz w:val="24"/>
          <w:szCs w:val="24"/>
          <w:highlight w:val="none"/>
          <w:lang w:val="en-US" w:eastAsia="zh-Hans"/>
        </w:rPr>
        <w:t>〔20</w:t>
      </w:r>
      <w:r>
        <w:rPr>
          <w:rFonts w:hint="eastAsia" w:ascii="宋体" w:hAnsi="宋体" w:eastAsia="宋体" w:cs="宋体"/>
          <w:color w:val="auto"/>
          <w:spacing w:val="0"/>
          <w:position w:val="0"/>
          <w:sz w:val="24"/>
          <w:szCs w:val="24"/>
          <w:highlight w:val="none"/>
          <w:lang w:val="en-US" w:eastAsia="zh-CN"/>
        </w:rPr>
        <w:t>07</w:t>
      </w:r>
      <w:r>
        <w:rPr>
          <w:rFonts w:hint="eastAsia" w:ascii="宋体" w:hAnsi="宋体" w:eastAsia="宋体" w:cs="宋体"/>
          <w:color w:val="auto"/>
          <w:spacing w:val="0"/>
          <w:position w:val="0"/>
          <w:sz w:val="24"/>
          <w:szCs w:val="24"/>
          <w:highlight w:val="none"/>
          <w:lang w:val="en-US" w:eastAsia="zh-Hans"/>
        </w:rPr>
        <w:t>〕</w:t>
      </w:r>
      <w:r>
        <w:rPr>
          <w:rFonts w:hint="eastAsia" w:ascii="宋体" w:hAnsi="宋体" w:eastAsia="宋体" w:cs="宋体"/>
          <w:color w:val="auto"/>
          <w:spacing w:val="0"/>
          <w:position w:val="0"/>
          <w:sz w:val="24"/>
          <w:szCs w:val="24"/>
          <w:highlight w:val="none"/>
          <w:lang w:val="en-US" w:eastAsia="zh-CN"/>
        </w:rPr>
        <w:t>670号文收费标准，按照《国家发展发改委关于进一步放开建设项目专业服务价格的通知》(发改价格</w:t>
      </w:r>
      <w:r>
        <w:rPr>
          <w:rFonts w:hint="eastAsia" w:ascii="宋体" w:hAnsi="宋体" w:eastAsia="宋体" w:cs="宋体"/>
          <w:color w:val="auto"/>
          <w:spacing w:val="0"/>
          <w:position w:val="0"/>
          <w:sz w:val="24"/>
          <w:szCs w:val="24"/>
          <w:highlight w:val="none"/>
          <w:lang w:val="en-US" w:eastAsia="zh-Hans"/>
        </w:rPr>
        <w:t>〔201</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en-US" w:eastAsia="zh-Hans"/>
        </w:rPr>
        <w:t>〕</w:t>
      </w:r>
      <w:r>
        <w:rPr>
          <w:rFonts w:hint="eastAsia" w:ascii="宋体" w:hAnsi="宋体" w:eastAsia="宋体" w:cs="宋体"/>
          <w:color w:val="auto"/>
          <w:spacing w:val="0"/>
          <w:position w:val="0"/>
          <w:sz w:val="24"/>
          <w:szCs w:val="24"/>
          <w:highlight w:val="none"/>
          <w:lang w:val="en-US" w:eastAsia="zh-CN"/>
        </w:rPr>
        <w:t>299号），由供应商综合考虑，自行报价，但不得高于18.64万元。</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2.附加工作监理服务费、额外工作监理费和1个月的延期监理费，由供应商自行综合考虑，均包括在监理人的报价中。</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3.如委托中标单位开展本年度除安德校区食堂改建项目、内江校区学生宿舍加固维修、运动场看台改造、动车考培基地建设项目以外的其他项目的监理工作，可参照发改价格〔2007〕670号文收费标准，同比例下浮收取监理费。</w:t>
      </w:r>
    </w:p>
    <w:p>
      <w:pPr>
        <w:wordWrap/>
        <w:topLinePunct w:val="0"/>
        <w:bidi w:val="0"/>
        <w:spacing w:line="360" w:lineRule="auto"/>
        <w:ind w:firstLine="470" w:firstLineChars="196"/>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如：业主委托额外开展造价为50万的项目的监理工作时，额外支付的监理费为50*3.3%*(投标价/23.2947)计算监理费（单位为万元）。</w:t>
      </w:r>
    </w:p>
    <w:p>
      <w:pPr>
        <w:wordWrap/>
        <w:topLinePunct w:val="0"/>
        <w:bidi w:val="0"/>
        <w:spacing w:line="360" w:lineRule="auto"/>
        <w:ind w:firstLine="240" w:firstLineChars="100"/>
        <w:textAlignment w:val="auto"/>
        <w:rPr>
          <w:rFonts w:hint="eastAsia" w:ascii="宋体" w:hAnsi="宋体" w:eastAsia="宋体" w:cs="宋体"/>
          <w:color w:val="auto"/>
          <w:spacing w:val="0"/>
          <w:position w:val="0"/>
          <w:sz w:val="24"/>
          <w:szCs w:val="24"/>
          <w:highlight w:val="none"/>
          <w:lang w:val="en-US" w:eastAsia="zh-Hans"/>
        </w:rPr>
      </w:pPr>
      <w:r>
        <w:rPr>
          <w:rFonts w:hint="eastAsia" w:ascii="宋体" w:hAnsi="宋体" w:eastAsia="宋体" w:cs="宋体"/>
          <w:color w:val="auto"/>
          <w:spacing w:val="0"/>
          <w:position w:val="0"/>
          <w:sz w:val="24"/>
          <w:szCs w:val="24"/>
          <w:highlight w:val="none"/>
          <w:lang w:val="en-US" w:eastAsia="zh-Hans"/>
        </w:rPr>
        <w:t>（</w:t>
      </w:r>
      <w:r>
        <w:rPr>
          <w:rFonts w:hint="eastAsia" w:ascii="宋体" w:hAnsi="宋体" w:eastAsia="宋体" w:cs="宋体"/>
          <w:color w:val="auto"/>
          <w:spacing w:val="0"/>
          <w:position w:val="0"/>
          <w:sz w:val="24"/>
          <w:szCs w:val="24"/>
          <w:highlight w:val="none"/>
          <w:lang w:val="en-US" w:eastAsia="zh-CN"/>
        </w:rPr>
        <w:t>四</w:t>
      </w:r>
      <w:r>
        <w:rPr>
          <w:rFonts w:hint="eastAsia" w:ascii="宋体" w:hAnsi="宋体" w:eastAsia="宋体" w:cs="宋体"/>
          <w:color w:val="auto"/>
          <w:spacing w:val="0"/>
          <w:position w:val="0"/>
          <w:sz w:val="24"/>
          <w:szCs w:val="24"/>
          <w:highlight w:val="none"/>
          <w:lang w:val="en-US" w:eastAsia="zh-Hans"/>
        </w:rPr>
        <w:t>）验收要求：验收标准以本项目</w:t>
      </w:r>
      <w:r>
        <w:rPr>
          <w:rFonts w:hint="eastAsia" w:ascii="宋体" w:hAnsi="宋体" w:eastAsia="宋体" w:cs="宋体"/>
          <w:color w:val="auto"/>
          <w:spacing w:val="0"/>
          <w:position w:val="0"/>
          <w:sz w:val="24"/>
          <w:szCs w:val="24"/>
          <w:highlight w:val="none"/>
          <w:lang w:val="en-US" w:eastAsia="zh-CN"/>
        </w:rPr>
        <w:t>招标</w:t>
      </w:r>
      <w:r>
        <w:rPr>
          <w:rFonts w:hint="eastAsia" w:ascii="宋体" w:hAnsi="宋体" w:eastAsia="宋体" w:cs="宋体"/>
          <w:color w:val="auto"/>
          <w:spacing w:val="0"/>
          <w:position w:val="0"/>
          <w:sz w:val="24"/>
          <w:szCs w:val="24"/>
          <w:highlight w:val="none"/>
          <w:lang w:val="en-US" w:eastAsia="zh-Hans"/>
        </w:rPr>
        <w:t>文件、成交人的响应文件和相关行业标准及《财政部关于进一步加强政府采购需求和履约验收管理的指导意见》（财库〔2016〕205号）相关要求执行。</w:t>
      </w:r>
    </w:p>
    <w:p>
      <w:pPr>
        <w:wordWrap/>
        <w:topLinePunct w:val="0"/>
        <w:bidi w:val="0"/>
        <w:spacing w:line="360" w:lineRule="auto"/>
        <w:ind w:firstLine="240" w:firstLineChars="100"/>
        <w:textAlignment w:val="auto"/>
        <w:rPr>
          <w:rFonts w:hint="eastAsia" w:ascii="宋体" w:hAnsi="宋体" w:eastAsia="宋体" w:cs="宋体"/>
          <w:color w:val="auto"/>
          <w:spacing w:val="0"/>
          <w:position w:val="0"/>
          <w:sz w:val="24"/>
          <w:szCs w:val="24"/>
          <w:highlight w:val="none"/>
          <w:lang w:val="en-US" w:eastAsia="zh-Hans"/>
        </w:rPr>
      </w:pPr>
      <w:r>
        <w:rPr>
          <w:rFonts w:hint="eastAsia" w:ascii="宋体" w:hAnsi="宋体" w:eastAsia="宋体" w:cs="宋体"/>
          <w:color w:val="auto"/>
          <w:spacing w:val="0"/>
          <w:position w:val="0"/>
          <w:sz w:val="24"/>
          <w:szCs w:val="24"/>
          <w:highlight w:val="none"/>
          <w:lang w:val="en-US" w:eastAsia="zh-Hans"/>
        </w:rPr>
        <w:t>（</w:t>
      </w:r>
      <w:r>
        <w:rPr>
          <w:rFonts w:hint="eastAsia" w:ascii="宋体" w:hAnsi="宋体" w:eastAsia="宋体" w:cs="宋体"/>
          <w:color w:val="auto"/>
          <w:spacing w:val="0"/>
          <w:position w:val="0"/>
          <w:sz w:val="24"/>
          <w:szCs w:val="24"/>
          <w:highlight w:val="none"/>
          <w:lang w:val="en-US" w:eastAsia="zh-CN"/>
        </w:rPr>
        <w:t>五</w:t>
      </w:r>
      <w:r>
        <w:rPr>
          <w:rFonts w:hint="eastAsia" w:ascii="宋体" w:hAnsi="宋体" w:eastAsia="宋体" w:cs="宋体"/>
          <w:color w:val="auto"/>
          <w:spacing w:val="0"/>
          <w:position w:val="0"/>
          <w:sz w:val="24"/>
          <w:szCs w:val="24"/>
          <w:highlight w:val="none"/>
          <w:lang w:val="en-US" w:eastAsia="zh-Hans"/>
        </w:rPr>
        <w:t>）检测原则：执行国家、四川省和行业现行的有关规范、规程和技术标准。但当</w:t>
      </w:r>
      <w:r>
        <w:rPr>
          <w:rFonts w:hint="eastAsia" w:ascii="宋体" w:hAnsi="宋体" w:eastAsia="宋体" w:cs="宋体"/>
          <w:color w:val="auto"/>
          <w:spacing w:val="0"/>
          <w:position w:val="0"/>
          <w:sz w:val="24"/>
          <w:szCs w:val="24"/>
          <w:highlight w:val="none"/>
          <w:lang w:val="en-US" w:eastAsia="zh-CN"/>
        </w:rPr>
        <w:t>招标</w:t>
      </w:r>
      <w:r>
        <w:rPr>
          <w:rFonts w:hint="eastAsia" w:ascii="宋体" w:hAnsi="宋体" w:eastAsia="宋体" w:cs="宋体"/>
          <w:color w:val="auto"/>
          <w:spacing w:val="0"/>
          <w:position w:val="0"/>
          <w:sz w:val="24"/>
          <w:szCs w:val="24"/>
          <w:highlight w:val="none"/>
          <w:lang w:val="en-US" w:eastAsia="zh-Hans"/>
        </w:rPr>
        <w:t>文件、响应文件和采购合同中的检测标准高于现行的有关规范、规程和技术标准时，按照高标准执行。</w:t>
      </w:r>
    </w:p>
    <w:p>
      <w:pPr>
        <w:wordWrap/>
        <w:topLinePunct w:val="0"/>
        <w:bidi w:val="0"/>
        <w:spacing w:line="360" w:lineRule="auto"/>
        <w:ind w:firstLine="240" w:firstLineChars="100"/>
        <w:textAlignment w:val="auto"/>
        <w:rPr>
          <w:rFonts w:hint="eastAsia" w:ascii="宋体" w:hAnsi="宋体" w:eastAsia="宋体" w:cs="宋体"/>
          <w:color w:val="auto"/>
          <w:spacing w:val="0"/>
          <w:position w:val="0"/>
          <w:sz w:val="24"/>
          <w:szCs w:val="24"/>
          <w:highlight w:val="none"/>
          <w:lang w:val="en-US" w:eastAsia="zh-Hans"/>
        </w:rPr>
      </w:pPr>
      <w:r>
        <w:rPr>
          <w:rFonts w:hint="eastAsia" w:ascii="宋体" w:hAnsi="宋体" w:eastAsia="宋体" w:cs="宋体"/>
          <w:color w:val="auto"/>
          <w:spacing w:val="0"/>
          <w:position w:val="0"/>
          <w:sz w:val="24"/>
          <w:szCs w:val="24"/>
          <w:highlight w:val="none"/>
          <w:lang w:val="en-US" w:eastAsia="zh-Hans"/>
        </w:rPr>
        <w:t>（</w:t>
      </w:r>
      <w:r>
        <w:rPr>
          <w:rFonts w:hint="eastAsia" w:ascii="宋体" w:hAnsi="宋体" w:eastAsia="宋体" w:cs="宋体"/>
          <w:color w:val="auto"/>
          <w:spacing w:val="0"/>
          <w:position w:val="0"/>
          <w:sz w:val="24"/>
          <w:szCs w:val="24"/>
          <w:highlight w:val="none"/>
          <w:lang w:val="en-US" w:eastAsia="zh-CN"/>
        </w:rPr>
        <w:t>六</w:t>
      </w:r>
      <w:r>
        <w:rPr>
          <w:rFonts w:hint="eastAsia" w:ascii="宋体" w:hAnsi="宋体" w:eastAsia="宋体" w:cs="宋体"/>
          <w:color w:val="auto"/>
          <w:spacing w:val="0"/>
          <w:position w:val="0"/>
          <w:sz w:val="24"/>
          <w:szCs w:val="24"/>
          <w:highlight w:val="none"/>
          <w:lang w:val="en-US" w:eastAsia="zh-Hans"/>
        </w:rPr>
        <w:t>）付款方式：（1）</w:t>
      </w:r>
      <w:r>
        <w:rPr>
          <w:rFonts w:hint="eastAsia" w:ascii="宋体" w:hAnsi="宋体" w:eastAsia="宋体" w:cs="宋体"/>
          <w:color w:val="auto"/>
          <w:spacing w:val="0"/>
          <w:position w:val="0"/>
          <w:sz w:val="24"/>
          <w:szCs w:val="24"/>
          <w:highlight w:val="none"/>
          <w:lang w:val="en-US" w:eastAsia="zh-CN"/>
        </w:rPr>
        <w:t>签订合同后</w:t>
      </w:r>
      <w:r>
        <w:rPr>
          <w:rFonts w:hint="eastAsia" w:ascii="宋体" w:hAnsi="宋体" w:eastAsia="宋体" w:cs="宋体"/>
          <w:color w:val="auto"/>
          <w:spacing w:val="0"/>
          <w:position w:val="0"/>
          <w:sz w:val="24"/>
          <w:szCs w:val="24"/>
          <w:highlight w:val="none"/>
          <w:lang w:val="en-US" w:eastAsia="zh-Hans"/>
        </w:rPr>
        <w:t>，7</w:t>
      </w:r>
      <w:r>
        <w:rPr>
          <w:rFonts w:hint="eastAsia" w:ascii="宋体" w:hAnsi="宋体" w:eastAsia="宋体" w:cs="宋体"/>
          <w:color w:val="auto"/>
          <w:spacing w:val="0"/>
          <w:position w:val="0"/>
          <w:sz w:val="24"/>
          <w:szCs w:val="24"/>
          <w:highlight w:val="none"/>
          <w:lang w:val="en-US" w:eastAsia="zh-CN"/>
        </w:rPr>
        <w:t>个工作</w:t>
      </w:r>
      <w:r>
        <w:rPr>
          <w:rFonts w:hint="eastAsia" w:ascii="宋体" w:hAnsi="宋体" w:eastAsia="宋体" w:cs="宋体"/>
          <w:color w:val="auto"/>
          <w:spacing w:val="0"/>
          <w:position w:val="0"/>
          <w:sz w:val="24"/>
          <w:szCs w:val="24"/>
          <w:highlight w:val="none"/>
          <w:lang w:val="en-US" w:eastAsia="zh-Hans"/>
        </w:rPr>
        <w:t>日内拨付暂定监理费用的</w:t>
      </w: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val="en-US" w:eastAsia="zh-Hans"/>
        </w:rPr>
        <w:t>0%。（2）各子项目竣工后，拨付监理费</w:t>
      </w:r>
      <w:r>
        <w:rPr>
          <w:rFonts w:hint="eastAsia" w:ascii="宋体" w:hAnsi="宋体" w:eastAsia="宋体" w:cs="宋体"/>
          <w:color w:val="auto"/>
          <w:spacing w:val="0"/>
          <w:position w:val="0"/>
          <w:sz w:val="24"/>
          <w:szCs w:val="24"/>
          <w:highlight w:val="none"/>
          <w:lang w:val="en-US" w:eastAsia="zh-CN"/>
        </w:rPr>
        <w:t>5</w:t>
      </w:r>
      <w:r>
        <w:rPr>
          <w:rFonts w:hint="eastAsia" w:ascii="宋体" w:hAnsi="宋体" w:eastAsia="宋体" w:cs="宋体"/>
          <w:color w:val="auto"/>
          <w:spacing w:val="0"/>
          <w:position w:val="0"/>
          <w:sz w:val="24"/>
          <w:szCs w:val="24"/>
          <w:highlight w:val="none"/>
          <w:lang w:val="en-US" w:eastAsia="zh-Hans"/>
        </w:rPr>
        <w:t>0%；（3）剩余合同价款</w:t>
      </w:r>
      <w:r>
        <w:rPr>
          <w:rFonts w:hint="eastAsia" w:ascii="宋体" w:hAnsi="宋体" w:eastAsia="宋体" w:cs="宋体"/>
          <w:color w:val="auto"/>
          <w:spacing w:val="0"/>
          <w:position w:val="0"/>
          <w:sz w:val="24"/>
          <w:szCs w:val="24"/>
          <w:highlight w:val="none"/>
          <w:lang w:val="en-US" w:eastAsia="zh-CN"/>
        </w:rPr>
        <w:t>2</w:t>
      </w:r>
      <w:r>
        <w:rPr>
          <w:rFonts w:hint="eastAsia" w:ascii="宋体" w:hAnsi="宋体" w:eastAsia="宋体" w:cs="宋体"/>
          <w:color w:val="auto"/>
          <w:spacing w:val="0"/>
          <w:position w:val="0"/>
          <w:sz w:val="24"/>
          <w:szCs w:val="24"/>
          <w:highlight w:val="none"/>
          <w:lang w:val="en-US" w:eastAsia="zh-Hans"/>
        </w:rPr>
        <w:t>0%待</w:t>
      </w:r>
      <w:r>
        <w:rPr>
          <w:rFonts w:hint="eastAsia" w:ascii="宋体" w:hAnsi="宋体" w:eastAsia="宋体" w:cs="宋体"/>
          <w:color w:val="auto"/>
          <w:spacing w:val="0"/>
          <w:position w:val="0"/>
          <w:sz w:val="24"/>
          <w:szCs w:val="24"/>
          <w:highlight w:val="none"/>
          <w:lang w:val="en-US" w:eastAsia="zh-CN"/>
        </w:rPr>
        <w:t>所有</w:t>
      </w:r>
      <w:r>
        <w:rPr>
          <w:rFonts w:hint="eastAsia" w:ascii="宋体" w:hAnsi="宋体" w:eastAsia="宋体" w:cs="宋体"/>
          <w:color w:val="auto"/>
          <w:spacing w:val="0"/>
          <w:position w:val="0"/>
          <w:sz w:val="24"/>
          <w:szCs w:val="24"/>
          <w:highlight w:val="none"/>
          <w:lang w:val="en-US" w:eastAsia="zh-Hans"/>
        </w:rPr>
        <w:t>子项目工程审核结算后7个工作日内支付。</w:t>
      </w:r>
    </w:p>
    <w:p>
      <w:pPr>
        <w:wordWrap/>
        <w:topLinePunct w:val="0"/>
        <w:bidi w:val="0"/>
        <w:spacing w:line="360" w:lineRule="auto"/>
        <w:ind w:firstLine="240" w:firstLineChars="100"/>
        <w:textAlignment w:val="auto"/>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Hans"/>
        </w:rPr>
        <w:t>（</w:t>
      </w:r>
      <w:r>
        <w:rPr>
          <w:rFonts w:hint="eastAsia" w:ascii="宋体" w:hAnsi="宋体" w:eastAsia="宋体" w:cs="宋体"/>
          <w:color w:val="auto"/>
          <w:spacing w:val="0"/>
          <w:position w:val="0"/>
          <w:sz w:val="24"/>
          <w:szCs w:val="24"/>
          <w:highlight w:val="none"/>
          <w:lang w:val="en-US" w:eastAsia="zh-CN"/>
        </w:rPr>
        <w:t>七</w:t>
      </w:r>
      <w:r>
        <w:rPr>
          <w:rFonts w:hint="eastAsia" w:ascii="宋体" w:hAnsi="宋体" w:eastAsia="宋体" w:cs="宋体"/>
          <w:color w:val="auto"/>
          <w:spacing w:val="0"/>
          <w:position w:val="0"/>
          <w:sz w:val="24"/>
          <w:szCs w:val="24"/>
          <w:highlight w:val="none"/>
          <w:lang w:val="en-US" w:eastAsia="zh-Hans"/>
        </w:rPr>
        <w:t>）监理单位不能变更或以“执行总监”等名义变相变更项目负责人，且需安排主要监理人员常驻施工现场。</w:t>
      </w:r>
    </w:p>
    <w:p>
      <w:pPr>
        <w:wordWrap/>
        <w:topLinePunct w:val="0"/>
        <w:bidi w:val="0"/>
        <w:textAlignment w:val="auto"/>
        <w:rPr>
          <w:rFonts w:hint="eastAsia" w:ascii="宋体" w:hAnsi="宋体" w:eastAsia="宋体"/>
          <w:color w:val="auto"/>
          <w:sz w:val="36"/>
          <w:szCs w:val="36"/>
          <w:highlight w:val="none"/>
        </w:rPr>
      </w:pPr>
      <w:r>
        <w:rPr>
          <w:rFonts w:hint="eastAsia" w:ascii="宋体" w:hAnsi="宋体" w:eastAsia="宋体"/>
          <w:color w:val="auto"/>
          <w:sz w:val="36"/>
          <w:szCs w:val="36"/>
          <w:highlight w:val="none"/>
        </w:rPr>
        <w:br w:type="page"/>
      </w:r>
    </w:p>
    <w:p>
      <w:pPr>
        <w:pStyle w:val="3"/>
        <w:wordWrap/>
        <w:topLinePunct w:val="0"/>
        <w:bidi w:val="0"/>
        <w:spacing w:before="0" w:after="0" w:line="400" w:lineRule="exact"/>
        <w:ind w:firstLine="2530" w:firstLineChars="7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第五章 比选评审办法</w:t>
      </w:r>
      <w:bookmarkEnd w:id="25"/>
    </w:p>
    <w:p>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一、总则</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1.比选人将根据比选项目特点组建评审委员会，采取综合评分法。</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2.比选评审工作应遵循公平、公正、科学及择优的原则，并以相同的比选评审程序和标准对待所有的申请人。</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3.评审委员会按照比选文件规定的评审方法和标准进行评审，并独立履行下列职责：</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(1)审查比选申请文件是否符合比选文件要求，并作出评价；</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(2)要求参加申请人对比选申请文件有关事项作出解释或者澄清；</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(3)推荐中选候选人名单</w:t>
      </w:r>
      <w:bookmarkStart w:id="26" w:name="_Toc217446098"/>
      <w:r>
        <w:rPr>
          <w:rFonts w:hint="eastAsia" w:ascii="宋体" w:hAnsi="宋体" w:eastAsia="宋体"/>
          <w:color w:val="auto"/>
          <w:sz w:val="24"/>
          <w:szCs w:val="24"/>
          <w:highlight w:val="none"/>
        </w:rPr>
        <w:t>。</w:t>
      </w:r>
    </w:p>
    <w:p>
      <w:pPr>
        <w:wordWrap/>
        <w:topLinePunct w:val="0"/>
        <w:bidi w:val="0"/>
        <w:spacing w:line="360" w:lineRule="auto"/>
        <w:jc w:val="center"/>
        <w:textAlignment w:val="auto"/>
        <w:outlineLvl w:val="1"/>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二、比选评审</w:t>
      </w:r>
      <w:bookmarkEnd w:id="26"/>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1.资格性检查。</w:t>
      </w:r>
      <w:r>
        <w:rPr>
          <w:rFonts w:hint="eastAsia" w:ascii="宋体" w:hAnsi="宋体" w:eastAsia="宋体"/>
          <w:color w:val="auto"/>
          <w:sz w:val="24"/>
          <w:szCs w:val="24"/>
          <w:highlight w:val="none"/>
        </w:rPr>
        <w:t>根据比选文件的规定，对比选申请文件中的资格证明等进行审查，以确定申请人是否具备比选资格。</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2.符合性检查。</w:t>
      </w:r>
      <w:r>
        <w:rPr>
          <w:rFonts w:hint="eastAsia" w:ascii="宋体" w:hAnsi="宋体" w:eastAsia="宋体"/>
          <w:color w:val="auto"/>
          <w:sz w:val="24"/>
          <w:szCs w:val="24"/>
          <w:highlight w:val="none"/>
        </w:rPr>
        <w:t>根据比选文件的规定，从比选申请文件的所有实质性要求进行审查，以确定是否对比选文件的实质性要求作出响应。</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3.澄清有关问题</w:t>
      </w:r>
      <w:r>
        <w:rPr>
          <w:rFonts w:hint="eastAsia" w:ascii="宋体" w:hAnsi="宋体" w:eastAsia="宋体"/>
          <w:color w:val="auto"/>
          <w:sz w:val="24"/>
          <w:szCs w:val="24"/>
          <w:highlight w:val="none"/>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wordWrap/>
        <w:topLinePunct w:val="0"/>
        <w:bidi w:val="0"/>
        <w:spacing w:line="360" w:lineRule="auto"/>
        <w:ind w:firstLine="472" w:firstLineChars="196"/>
        <w:textAlignment w:val="auto"/>
        <w:rPr>
          <w:rFonts w:ascii="宋体" w:hAnsi="宋体" w:eastAsia="宋体"/>
          <w:color w:val="auto"/>
          <w:highlight w:val="none"/>
        </w:rPr>
      </w:pPr>
      <w:r>
        <w:rPr>
          <w:rFonts w:hint="eastAsia" w:ascii="宋体" w:hAnsi="宋体" w:eastAsia="宋体"/>
          <w:b/>
          <w:bCs/>
          <w:color w:val="auto"/>
          <w:sz w:val="24"/>
          <w:szCs w:val="24"/>
          <w:highlight w:val="none"/>
        </w:rPr>
        <w:t>4.比较与评价</w:t>
      </w:r>
      <w:r>
        <w:rPr>
          <w:rFonts w:hint="eastAsia" w:ascii="宋体" w:hAnsi="宋体" w:eastAsia="宋体"/>
          <w:color w:val="auto"/>
          <w:sz w:val="24"/>
          <w:szCs w:val="24"/>
          <w:highlight w:val="none"/>
        </w:rPr>
        <w:t>。按比选文件中规定的比选评审方法和标准，对资格性检查和符合性检查合格的比选申请文件按照以下综合评分表进行综合比较与评价。</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5.推荐中选候选人名单。</w:t>
      </w:r>
      <w:r>
        <w:rPr>
          <w:rFonts w:hint="eastAsia" w:ascii="宋体" w:hAnsi="宋体" w:eastAsia="宋体"/>
          <w:color w:val="auto"/>
          <w:sz w:val="24"/>
          <w:szCs w:val="24"/>
          <w:highlight w:val="none"/>
        </w:rPr>
        <w:t>中选候选人数量应当根据采购需要确定，但必须按顺序排列中选候选人。</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6.编写比选评审报告。</w:t>
      </w:r>
      <w:r>
        <w:rPr>
          <w:rFonts w:hint="eastAsia" w:ascii="宋体" w:hAnsi="宋体" w:eastAsia="宋体"/>
          <w:color w:val="auto"/>
          <w:sz w:val="24"/>
          <w:szCs w:val="24"/>
          <w:highlight w:val="none"/>
        </w:rPr>
        <w:t>比选评审报告是比选评审委员会根据全体比选评审成员签字的原始比选评审记录和比选评审结果编写的报告。</w:t>
      </w:r>
    </w:p>
    <w:p>
      <w:pPr>
        <w:wordWrap/>
        <w:topLinePunct w:val="0"/>
        <w:bidi w:val="0"/>
        <w:spacing w:line="360" w:lineRule="auto"/>
        <w:ind w:firstLine="472" w:firstLineChars="196"/>
        <w:textAlignment w:val="auto"/>
        <w:rPr>
          <w:rFonts w:ascii="宋体" w:hAnsi="宋体" w:eastAsia="宋体"/>
          <w:color w:val="auto"/>
          <w:sz w:val="24"/>
          <w:szCs w:val="24"/>
          <w:highlight w:val="none"/>
        </w:rPr>
      </w:pPr>
      <w:r>
        <w:rPr>
          <w:rFonts w:hint="eastAsia" w:ascii="宋体" w:hAnsi="宋体" w:eastAsia="宋体"/>
          <w:b/>
          <w:bCs/>
          <w:color w:val="auto"/>
          <w:sz w:val="24"/>
          <w:szCs w:val="24"/>
          <w:highlight w:val="none"/>
        </w:rPr>
        <w:t>7.中选。</w:t>
      </w:r>
      <w:r>
        <w:rPr>
          <w:rFonts w:hint="eastAsia" w:ascii="宋体" w:hAnsi="宋体" w:eastAsia="宋体"/>
          <w:color w:val="auto"/>
          <w:sz w:val="24"/>
          <w:szCs w:val="24"/>
          <w:highlight w:val="none"/>
        </w:rPr>
        <w:t>比选人根据中选候选人名单，原则上选择综合得分最高的申请人为中选人，若遇到特殊情况比选人可自主根据中选候选人名单确定中选人。</w:t>
      </w:r>
    </w:p>
    <w:p>
      <w:pPr>
        <w:wordWrap/>
        <w:topLinePunct w:val="0"/>
        <w:bidi w:val="0"/>
        <w:spacing w:line="360" w:lineRule="auto"/>
        <w:ind w:firstLine="705" w:firstLineChars="196"/>
        <w:textAlignment w:val="auto"/>
        <w:rPr>
          <w:rFonts w:ascii="宋体" w:hAnsi="宋体" w:eastAsia="宋体"/>
          <w:bCs/>
          <w:color w:val="auto"/>
          <w:sz w:val="36"/>
          <w:szCs w:val="36"/>
          <w:highlight w:val="none"/>
        </w:rPr>
      </w:pPr>
    </w:p>
    <w:p>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三</w:t>
      </w:r>
      <w:r>
        <w:rPr>
          <w:rFonts w:hint="eastAsia" w:ascii="宋体" w:hAnsi="宋体" w:eastAsia="宋体" w:cs="Times New Roman"/>
          <w:b/>
          <w:color w:val="auto"/>
          <w:sz w:val="28"/>
          <w:szCs w:val="28"/>
          <w:highlight w:val="none"/>
        </w:rPr>
        <w:t>、比选评审办法</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本次比选采用综合评分法。 </w:t>
      </w:r>
    </w:p>
    <w:p>
      <w:pPr>
        <w:wordWrap/>
        <w:topLinePunct w:val="0"/>
        <w:bidi w:val="0"/>
        <w:spacing w:line="360" w:lineRule="auto"/>
        <w:jc w:val="center"/>
        <w:textAlignment w:val="auto"/>
        <w:outlineLvl w:val="1"/>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lang w:val="en-US" w:eastAsia="zh-CN"/>
        </w:rPr>
        <w:t>四</w:t>
      </w:r>
      <w:r>
        <w:rPr>
          <w:rFonts w:hint="eastAsia" w:ascii="宋体" w:hAnsi="宋体" w:eastAsia="宋体" w:cs="Times New Roman"/>
          <w:b/>
          <w:color w:val="auto"/>
          <w:sz w:val="28"/>
          <w:szCs w:val="28"/>
          <w:highlight w:val="none"/>
        </w:rPr>
        <w:t>、评分办法说明</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对各申请文件进行详细评审打分，满分为 100 分。各申请人所有评价指标得分之和为该申请人的综合得分。</w:t>
      </w:r>
    </w:p>
    <w:p>
      <w:pPr>
        <w:wordWrap/>
        <w:topLinePunct w:val="0"/>
        <w:bidi w:val="0"/>
        <w:spacing w:line="360" w:lineRule="auto"/>
        <w:ind w:firstLine="470" w:firstLineChars="19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详细评分标准如下表： </w:t>
      </w:r>
    </w:p>
    <w:tbl>
      <w:tblPr>
        <w:tblStyle w:val="21"/>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trPr>
        <w:tc>
          <w:tcPr>
            <w:tcW w:w="9274" w:type="dxa"/>
            <w:vAlign w:val="center"/>
          </w:tcPr>
          <w:p>
            <w:pPr>
              <w:jc w:val="center"/>
              <w:rPr>
                <w:rFonts w:ascii="宋体" w:hAnsi="宋体" w:eastAsia="宋体" w:cs="Arial Unicode MS"/>
                <w:b/>
                <w:bCs/>
                <w:sz w:val="28"/>
                <w:szCs w:val="28"/>
              </w:rPr>
            </w:pPr>
            <w:r>
              <w:rPr>
                <w:rFonts w:hint="eastAsia" w:ascii="宋体" w:hAnsi="宋体" w:eastAsia="宋体" w:cs="Arial Unicode MS"/>
                <w:b/>
                <w:bCs/>
                <w:sz w:val="28"/>
                <w:szCs w:val="28"/>
              </w:rPr>
              <w:t>评审办法</w:t>
            </w:r>
          </w:p>
          <w:p>
            <w:pPr>
              <w:jc w:val="center"/>
              <w:rPr>
                <w:rFonts w:hint="eastAsia" w:ascii="宋体" w:hAnsi="宋体" w:eastAsia="宋体" w:cs="Arial Unicode MS"/>
                <w:sz w:val="24"/>
              </w:rPr>
            </w:pPr>
            <w:r>
              <w:rPr>
                <w:rFonts w:hint="eastAsia" w:ascii="宋体" w:hAnsi="宋体" w:eastAsia="宋体" w:cs="Arial Unicode MS"/>
                <w:sz w:val="24"/>
              </w:rPr>
              <w:t>(如果选择综合评分法，请提供综合评分表等</w:t>
            </w:r>
            <w:r>
              <w:rPr>
                <w:rFonts w:ascii="宋体" w:hAnsi="宋体" w:eastAsia="宋体" w:cs="Arial Unicode M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274" w:type="dxa"/>
            <w:vAlign w:val="center"/>
          </w:tcPr>
          <w:tbl>
            <w:tblPr>
              <w:tblStyle w:val="21"/>
              <w:tblpPr w:leftFromText="180" w:rightFromText="180" w:vertAnchor="text" w:horzAnchor="page" w:tblpXSpec="center" w:tblpY="739"/>
              <w:tblOverlap w:val="never"/>
              <w:tblW w:w="7986" w:type="dxa"/>
              <w:jc w:val="center"/>
              <w:tblLayout w:type="fixed"/>
              <w:tblCellMar>
                <w:top w:w="0" w:type="dxa"/>
                <w:left w:w="108" w:type="dxa"/>
                <w:bottom w:w="0" w:type="dxa"/>
                <w:right w:w="108" w:type="dxa"/>
              </w:tblCellMar>
            </w:tblPr>
            <w:tblGrid>
              <w:gridCol w:w="996"/>
              <w:gridCol w:w="855"/>
              <w:gridCol w:w="6135"/>
            </w:tblGrid>
            <w:tr>
              <w:tblPrEx>
                <w:tblCellMar>
                  <w:top w:w="0" w:type="dxa"/>
                  <w:left w:w="108" w:type="dxa"/>
                  <w:bottom w:w="0" w:type="dxa"/>
                  <w:right w:w="108" w:type="dxa"/>
                </w:tblCellMar>
              </w:tblPrEx>
              <w:trPr>
                <w:trHeight w:val="280"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评分</w:t>
                  </w:r>
                </w:p>
                <w:p>
                  <w:pPr>
                    <w:wordWrap/>
                    <w:topLinePunct w:val="0"/>
                    <w:bidi w:val="0"/>
                    <w:spacing w:line="360" w:lineRule="auto"/>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因素</w:t>
                  </w:r>
                </w:p>
              </w:tc>
              <w:tc>
                <w:tcPr>
                  <w:tcW w:w="855" w:type="dxa"/>
                  <w:tcBorders>
                    <w:top w:val="single" w:color="auto" w:sz="4" w:space="0"/>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分值</w:t>
                  </w:r>
                </w:p>
              </w:tc>
              <w:tc>
                <w:tcPr>
                  <w:tcW w:w="6135" w:type="dxa"/>
                  <w:tcBorders>
                    <w:top w:val="single" w:color="auto" w:sz="4" w:space="0"/>
                    <w:left w:val="nil"/>
                    <w:bottom w:val="single" w:color="auto" w:sz="4" w:space="0"/>
                    <w:right w:val="single" w:color="auto" w:sz="4" w:space="0"/>
                  </w:tcBorders>
                  <w:noWrap w:val="0"/>
                  <w:vAlign w:val="center"/>
                </w:tcPr>
                <w:p>
                  <w:pPr>
                    <w:wordWrap/>
                    <w:topLinePunct w:val="0"/>
                    <w:bidi w:val="0"/>
                    <w:spacing w:line="360" w:lineRule="auto"/>
                    <w:ind w:firstLine="470" w:firstLineChars="196"/>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评</w:t>
                  </w:r>
                  <w:r>
                    <w:rPr>
                      <w:rFonts w:hint="eastAsia" w:ascii="宋体" w:hAnsi="宋体" w:eastAsia="宋体"/>
                      <w:color w:val="auto"/>
                      <w:sz w:val="24"/>
                      <w:szCs w:val="24"/>
                      <w:highlight w:val="none"/>
                      <w:lang w:eastAsia="zh-CN"/>
                    </w:rPr>
                    <w:t>审</w:t>
                  </w:r>
                  <w:r>
                    <w:rPr>
                      <w:rFonts w:hint="eastAsia" w:ascii="宋体" w:hAnsi="宋体" w:eastAsia="宋体"/>
                      <w:color w:val="auto"/>
                      <w:sz w:val="24"/>
                      <w:szCs w:val="24"/>
                      <w:highlight w:val="none"/>
                    </w:rPr>
                    <w:t>标准</w:t>
                  </w:r>
                </w:p>
              </w:tc>
            </w:tr>
            <w:tr>
              <w:tblPrEx>
                <w:tblCellMar>
                  <w:top w:w="0" w:type="dxa"/>
                  <w:left w:w="108" w:type="dxa"/>
                  <w:bottom w:w="0" w:type="dxa"/>
                  <w:right w:w="108" w:type="dxa"/>
                </w:tblCellMar>
              </w:tblPrEx>
              <w:trPr>
                <w:trHeight w:val="1438" w:hRule="atLeast"/>
                <w:jc w:val="center"/>
              </w:trPr>
              <w:tc>
                <w:tcPr>
                  <w:tcW w:w="996"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报价</w:t>
                  </w:r>
                </w:p>
              </w:tc>
              <w:tc>
                <w:tcPr>
                  <w:tcW w:w="855"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0分</w:t>
                  </w:r>
                </w:p>
              </w:tc>
              <w:tc>
                <w:tcPr>
                  <w:tcW w:w="6135" w:type="dxa"/>
                  <w:tcBorders>
                    <w:top w:val="single" w:color="auto" w:sz="4" w:space="0"/>
                    <w:left w:val="nil"/>
                    <w:bottom w:val="single" w:color="auto" w:sz="4" w:space="0"/>
                    <w:right w:val="single" w:color="auto" w:sz="4" w:space="0"/>
                  </w:tcBorders>
                  <w:noWrap w:val="0"/>
                  <w:vAlign w:val="center"/>
                </w:tcPr>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满足</w:t>
                  </w:r>
                  <w:r>
                    <w:rPr>
                      <w:rFonts w:hint="eastAsia" w:ascii="宋体" w:hAnsi="宋体" w:eastAsia="宋体"/>
                      <w:color w:val="auto"/>
                      <w:sz w:val="24"/>
                      <w:szCs w:val="24"/>
                      <w:highlight w:val="none"/>
                      <w:lang w:eastAsia="zh-CN"/>
                    </w:rPr>
                    <w:t>招标</w:t>
                  </w:r>
                  <w:r>
                    <w:rPr>
                      <w:rFonts w:hint="eastAsia" w:ascii="宋体" w:hAnsi="宋体" w:eastAsia="宋体"/>
                      <w:color w:val="auto"/>
                      <w:sz w:val="24"/>
                      <w:szCs w:val="24"/>
                      <w:highlight w:val="none"/>
                    </w:rPr>
                    <w:t>文件要求且最低的报价为</w:t>
                  </w:r>
                  <w:r>
                    <w:rPr>
                      <w:rFonts w:hint="eastAsia" w:ascii="宋体" w:hAnsi="宋体" w:eastAsia="宋体"/>
                      <w:color w:val="auto"/>
                      <w:sz w:val="24"/>
                      <w:szCs w:val="24"/>
                      <w:highlight w:val="none"/>
                      <w:lang w:val="en-US" w:eastAsia="zh-CN"/>
                    </w:rPr>
                    <w:t>基准价</w:t>
                  </w:r>
                  <w:r>
                    <w:rPr>
                      <w:rFonts w:hint="eastAsia" w:ascii="宋体" w:hAnsi="宋体" w:eastAsia="宋体"/>
                      <w:color w:val="auto"/>
                      <w:sz w:val="24"/>
                      <w:szCs w:val="24"/>
                      <w:highlight w:val="none"/>
                    </w:rPr>
                    <w:t>，其价格分为满分。其他供应商的价格分统一按照下列公式计算：报价得分=</w:t>
                  </w:r>
                  <w:r>
                    <w:rPr>
                      <w:rFonts w:hint="eastAsia" w:ascii="宋体" w:hAnsi="宋体" w:eastAsia="宋体"/>
                      <w:color w:val="auto"/>
                      <w:sz w:val="24"/>
                      <w:szCs w:val="24"/>
                      <w:highlight w:val="none"/>
                      <w:lang w:val="en-US" w:eastAsia="zh-CN"/>
                    </w:rPr>
                    <w:t>(基准价</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供应商</w:t>
                  </w:r>
                  <w:r>
                    <w:rPr>
                      <w:rFonts w:hint="eastAsia" w:ascii="宋体" w:hAnsi="宋体" w:eastAsia="宋体"/>
                      <w:color w:val="auto"/>
                      <w:sz w:val="24"/>
                      <w:szCs w:val="24"/>
                      <w:highlight w:val="none"/>
                    </w:rPr>
                    <w:t>报价</w:t>
                  </w:r>
                  <w:r>
                    <w:rPr>
                      <w:rFonts w:hint="eastAsia" w:ascii="宋体" w:hAnsi="宋体" w:eastAsia="宋体"/>
                      <w:color w:val="auto"/>
                      <w:sz w:val="24"/>
                      <w:szCs w:val="24"/>
                      <w:highlight w:val="none"/>
                      <w:lang w:val="en-US" w:eastAsia="zh-CN"/>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30</w:t>
                  </w:r>
                  <w:r>
                    <w:rPr>
                      <w:rFonts w:hint="eastAsia" w:ascii="宋体" w:hAnsi="宋体" w:eastAsia="宋体"/>
                      <w:color w:val="auto"/>
                      <w:sz w:val="24"/>
                      <w:szCs w:val="24"/>
                      <w:highlight w:val="none"/>
                    </w:rPr>
                    <w:t>*100（四舍五入法结果保留小数点后两位）。</w:t>
                  </w:r>
                </w:p>
              </w:tc>
            </w:tr>
            <w:tr>
              <w:tblPrEx>
                <w:tblCellMar>
                  <w:top w:w="0" w:type="dxa"/>
                  <w:left w:w="108" w:type="dxa"/>
                  <w:bottom w:w="0" w:type="dxa"/>
                  <w:right w:w="108" w:type="dxa"/>
                </w:tblCellMar>
              </w:tblPrEx>
              <w:trPr>
                <w:trHeight w:val="1021" w:hRule="atLeast"/>
                <w:jc w:val="center"/>
              </w:trPr>
              <w:tc>
                <w:tcPr>
                  <w:tcW w:w="996"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类似</w:t>
                  </w:r>
                </w:p>
                <w:p>
                  <w:pPr>
                    <w:wordWrap/>
                    <w:topLinePunct w:val="0"/>
                    <w:bidi w:val="0"/>
                    <w:spacing w:line="360" w:lineRule="auto"/>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业绩</w:t>
                  </w:r>
                </w:p>
              </w:tc>
              <w:tc>
                <w:tcPr>
                  <w:tcW w:w="855"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10分</w:t>
                  </w:r>
                </w:p>
              </w:tc>
              <w:tc>
                <w:tcPr>
                  <w:tcW w:w="6135" w:type="dxa"/>
                  <w:tcBorders>
                    <w:top w:val="single" w:color="auto" w:sz="4" w:space="0"/>
                    <w:left w:val="nil"/>
                    <w:bottom w:val="single" w:color="auto" w:sz="4" w:space="0"/>
                    <w:right w:val="single" w:color="auto" w:sz="4" w:space="0"/>
                  </w:tcBorders>
                  <w:noWrap w:val="0"/>
                  <w:vAlign w:val="center"/>
                </w:tcPr>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20</w:t>
                  </w:r>
                  <w:r>
                    <w:rPr>
                      <w:rFonts w:hint="eastAsia" w:ascii="宋体" w:hAnsi="宋体" w:eastAsia="宋体"/>
                      <w:color w:val="auto"/>
                      <w:sz w:val="24"/>
                      <w:szCs w:val="24"/>
                      <w:highlight w:val="none"/>
                      <w:lang w:val="en-US" w:eastAsia="zh-CN"/>
                    </w:rPr>
                    <w:t>21</w:t>
                  </w:r>
                  <w:r>
                    <w:rPr>
                      <w:rFonts w:hint="eastAsia" w:ascii="宋体" w:hAnsi="宋体" w:eastAsia="宋体"/>
                      <w:color w:val="auto"/>
                      <w:sz w:val="24"/>
                      <w:szCs w:val="24"/>
                      <w:highlight w:val="none"/>
                    </w:rPr>
                    <w:t>年1月至今具有1个在建或已完成的类似项目服务业绩得2分，每增加1个类似项目监理业绩加2分，满分10分。</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类似项目是指建筑工程监理类业绩。</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注：在建业绩应附合同协议书复印件，已完成业绩应附合同协议书复印件和竣工验收报告复印件加盖单位鲜章。</w:t>
                  </w:r>
                </w:p>
              </w:tc>
            </w:tr>
            <w:tr>
              <w:tblPrEx>
                <w:tblCellMar>
                  <w:top w:w="0" w:type="dxa"/>
                  <w:left w:w="108" w:type="dxa"/>
                  <w:bottom w:w="0" w:type="dxa"/>
                  <w:right w:w="108" w:type="dxa"/>
                </w:tblCellMar>
              </w:tblPrEx>
              <w:trPr>
                <w:trHeight w:val="1438" w:hRule="atLeast"/>
                <w:jc w:val="center"/>
              </w:trPr>
              <w:tc>
                <w:tcPr>
                  <w:tcW w:w="996"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综合</w:t>
                  </w:r>
                </w:p>
                <w:p>
                  <w:pPr>
                    <w:wordWrap/>
                    <w:topLinePunct w:val="0"/>
                    <w:bidi w:val="0"/>
                    <w:spacing w:line="360" w:lineRule="auto"/>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实力</w:t>
                  </w:r>
                </w:p>
              </w:tc>
              <w:tc>
                <w:tcPr>
                  <w:tcW w:w="855"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10分</w:t>
                  </w:r>
                </w:p>
              </w:tc>
              <w:tc>
                <w:tcPr>
                  <w:tcW w:w="6135" w:type="dxa"/>
                  <w:tcBorders>
                    <w:top w:val="single" w:color="auto" w:sz="4" w:space="0"/>
                    <w:left w:val="nil"/>
                    <w:bottom w:val="single" w:color="auto" w:sz="4" w:space="0"/>
                    <w:right w:val="single" w:color="auto" w:sz="4" w:space="0"/>
                  </w:tcBorders>
                  <w:noWrap w:val="0"/>
                  <w:vAlign w:val="center"/>
                </w:tcPr>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供应商具有建设行政主管部门颁发的房屋建筑工程</w:t>
                  </w:r>
                  <w:r>
                    <w:rPr>
                      <w:rFonts w:hint="eastAsia" w:ascii="宋体" w:hAnsi="宋体" w:eastAsia="宋体"/>
                      <w:color w:val="auto"/>
                      <w:sz w:val="24"/>
                      <w:szCs w:val="24"/>
                      <w:highlight w:val="none"/>
                      <w:lang w:val="en-US" w:eastAsia="zh-CN"/>
                    </w:rPr>
                    <w:t>和</w:t>
                  </w:r>
                  <w:r>
                    <w:rPr>
                      <w:rFonts w:hint="eastAsia" w:ascii="宋体" w:hAnsi="宋体" w:eastAsia="宋体"/>
                      <w:color w:val="auto"/>
                      <w:sz w:val="24"/>
                      <w:szCs w:val="24"/>
                      <w:highlight w:val="none"/>
                      <w:lang w:eastAsia="zh-CN"/>
                    </w:rPr>
                    <w:t>市政公用工程</w:t>
                  </w:r>
                  <w:r>
                    <w:rPr>
                      <w:rFonts w:hint="eastAsia" w:ascii="宋体" w:hAnsi="宋体" w:eastAsia="宋体"/>
                      <w:color w:val="auto"/>
                      <w:sz w:val="24"/>
                      <w:szCs w:val="24"/>
                      <w:highlight w:val="none"/>
                    </w:rPr>
                    <w:t>监理丙级资质得</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2分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，具有建设行政主管部门颁发的房屋建筑工程</w:t>
                  </w:r>
                  <w:r>
                    <w:rPr>
                      <w:rFonts w:hint="eastAsia" w:ascii="宋体" w:hAnsi="宋体" w:eastAsia="宋体"/>
                      <w:color w:val="auto"/>
                      <w:sz w:val="24"/>
                      <w:szCs w:val="24"/>
                      <w:highlight w:val="none"/>
                      <w:lang w:val="en-US" w:eastAsia="zh-CN"/>
                    </w:rPr>
                    <w:t>和市政公用工程</w:t>
                  </w:r>
                  <w:r>
                    <w:rPr>
                      <w:rFonts w:hint="eastAsia" w:ascii="宋体" w:hAnsi="宋体" w:eastAsia="宋体"/>
                      <w:color w:val="auto"/>
                      <w:sz w:val="24"/>
                      <w:szCs w:val="24"/>
                      <w:highlight w:val="none"/>
                    </w:rPr>
                    <w:t>监理乙级资质得</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5分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，具有建设行政主管部门颁发的房屋建筑工程</w:t>
                  </w:r>
                  <w:r>
                    <w:rPr>
                      <w:rFonts w:hint="eastAsia" w:ascii="宋体" w:hAnsi="宋体" w:eastAsia="宋体"/>
                      <w:color w:val="auto"/>
                      <w:sz w:val="24"/>
                      <w:szCs w:val="24"/>
                      <w:highlight w:val="none"/>
                      <w:lang w:val="en-US" w:eastAsia="zh-CN"/>
                    </w:rPr>
                    <w:t>和</w:t>
                  </w:r>
                  <w:r>
                    <w:rPr>
                      <w:rFonts w:hint="eastAsia" w:ascii="宋体" w:hAnsi="宋体" w:eastAsia="宋体"/>
                      <w:color w:val="auto"/>
                      <w:sz w:val="24"/>
                      <w:szCs w:val="24"/>
                      <w:highlight w:val="none"/>
                    </w:rPr>
                    <w:t>市政公用工程监理甲级资质得</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7分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，具有建设行政主管部门颁发的工程监理综合资质得</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10分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eastAsia="zh-CN"/>
                    </w:rPr>
                    <w:t>本项目</w:t>
                  </w:r>
                  <w:r>
                    <w:rPr>
                      <w:rFonts w:hint="eastAsia" w:ascii="宋体" w:hAnsi="宋体" w:eastAsia="宋体"/>
                      <w:color w:val="auto"/>
                      <w:sz w:val="24"/>
                      <w:szCs w:val="24"/>
                      <w:highlight w:val="none"/>
                    </w:rPr>
                    <w:t>最高得</w:t>
                  </w:r>
                  <w:r>
                    <w:rPr>
                      <w:rFonts w:hint="eastAsia" w:ascii="宋体" w:hAnsi="宋体" w:eastAsia="宋体"/>
                      <w:color w:val="auto"/>
                      <w:sz w:val="24"/>
                      <w:szCs w:val="24"/>
                      <w:highlight w:val="none"/>
                      <w:lang w:eastAsia="zh-CN"/>
                    </w:rPr>
                    <w:t>分</w:t>
                  </w:r>
                  <w:r>
                    <w:rPr>
                      <w:rFonts w:hint="eastAsia" w:ascii="宋体" w:hAnsi="宋体" w:eastAsia="宋体"/>
                      <w:color w:val="auto"/>
                      <w:sz w:val="24"/>
                      <w:szCs w:val="24"/>
                      <w:highlight w:val="none"/>
                    </w:rPr>
                    <w:t>10分。</w:t>
                  </w:r>
                </w:p>
              </w:tc>
            </w:tr>
            <w:tr>
              <w:tblPrEx>
                <w:tblCellMar>
                  <w:top w:w="0" w:type="dxa"/>
                  <w:left w:w="108" w:type="dxa"/>
                  <w:bottom w:w="0" w:type="dxa"/>
                  <w:right w:w="108" w:type="dxa"/>
                </w:tblCellMar>
              </w:tblPrEx>
              <w:trPr>
                <w:trHeight w:val="1438" w:hRule="atLeast"/>
                <w:jc w:val="center"/>
              </w:trPr>
              <w:tc>
                <w:tcPr>
                  <w:tcW w:w="996"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信用</w:t>
                  </w:r>
                </w:p>
              </w:tc>
              <w:tc>
                <w:tcPr>
                  <w:tcW w:w="855"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分</w:t>
                  </w:r>
                </w:p>
              </w:tc>
              <w:tc>
                <w:tcPr>
                  <w:tcW w:w="6135" w:type="dxa"/>
                  <w:tcBorders>
                    <w:top w:val="single" w:color="auto" w:sz="4" w:space="0"/>
                    <w:left w:val="nil"/>
                    <w:bottom w:val="single" w:color="auto" w:sz="4" w:space="0"/>
                    <w:right w:val="single" w:color="auto" w:sz="4" w:space="0"/>
                  </w:tcBorders>
                  <w:noWrap w:val="0"/>
                  <w:vAlign w:val="center"/>
                </w:tcPr>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供应商提供投标截止时间前一个工作日在“成都市建筑市场信用信息管理系统（监理—房建）”的信用排名，1-</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（含）名得10分，</w:t>
                  </w:r>
                  <w:r>
                    <w:rPr>
                      <w:rFonts w:hint="eastAsia" w:ascii="宋体" w:hAnsi="宋体" w:eastAsia="宋体"/>
                      <w:color w:val="auto"/>
                      <w:sz w:val="24"/>
                      <w:szCs w:val="24"/>
                      <w:highlight w:val="none"/>
                      <w:lang w:val="en-US" w:eastAsia="zh-CN"/>
                    </w:rPr>
                    <w:t>11</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30</w:t>
                  </w:r>
                  <w:r>
                    <w:rPr>
                      <w:rFonts w:hint="eastAsia" w:ascii="宋体" w:hAnsi="宋体" w:eastAsia="宋体"/>
                      <w:color w:val="auto"/>
                      <w:sz w:val="24"/>
                      <w:szCs w:val="24"/>
                      <w:highlight w:val="none"/>
                    </w:rPr>
                    <w:t>（含）名得6分，</w:t>
                  </w:r>
                  <w:r>
                    <w:rPr>
                      <w:rFonts w:hint="eastAsia" w:ascii="宋体" w:hAnsi="宋体" w:eastAsia="宋体"/>
                      <w:color w:val="auto"/>
                      <w:sz w:val="24"/>
                      <w:szCs w:val="24"/>
                      <w:highlight w:val="none"/>
                      <w:lang w:val="en-US" w:eastAsia="zh-CN"/>
                    </w:rPr>
                    <w:t>31</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50</w:t>
                  </w:r>
                  <w:r>
                    <w:rPr>
                      <w:rFonts w:hint="eastAsia" w:ascii="宋体" w:hAnsi="宋体" w:eastAsia="宋体"/>
                      <w:color w:val="auto"/>
                      <w:sz w:val="24"/>
                      <w:szCs w:val="24"/>
                      <w:highlight w:val="none"/>
                    </w:rPr>
                    <w:t>（含）名得4分，</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70</w:t>
                  </w:r>
                  <w:r>
                    <w:rPr>
                      <w:rFonts w:hint="eastAsia" w:ascii="宋体" w:hAnsi="宋体" w:eastAsia="宋体"/>
                      <w:color w:val="auto"/>
                      <w:sz w:val="24"/>
                      <w:szCs w:val="24"/>
                      <w:highlight w:val="none"/>
                    </w:rPr>
                    <w:t>（含）得2分，</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rPr>
                    <w:t>0名以后不得分。</w:t>
                  </w:r>
                </w:p>
              </w:tc>
            </w:tr>
            <w:tr>
              <w:tblPrEx>
                <w:tblCellMar>
                  <w:top w:w="0" w:type="dxa"/>
                  <w:left w:w="108" w:type="dxa"/>
                  <w:bottom w:w="0" w:type="dxa"/>
                  <w:right w:w="108" w:type="dxa"/>
                </w:tblCellMar>
              </w:tblPrEx>
              <w:trPr>
                <w:trHeight w:val="1438" w:hRule="atLeast"/>
                <w:jc w:val="center"/>
              </w:trPr>
              <w:tc>
                <w:tcPr>
                  <w:tcW w:w="996"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人员</w:t>
                  </w:r>
                </w:p>
                <w:p>
                  <w:pPr>
                    <w:wordWrap/>
                    <w:topLinePunct w:val="0"/>
                    <w:bidi w:val="0"/>
                    <w:spacing w:line="360" w:lineRule="auto"/>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配置</w:t>
                  </w:r>
                </w:p>
              </w:tc>
              <w:tc>
                <w:tcPr>
                  <w:tcW w:w="855"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0分</w:t>
                  </w:r>
                </w:p>
              </w:tc>
              <w:tc>
                <w:tcPr>
                  <w:tcW w:w="6135" w:type="dxa"/>
                  <w:tcBorders>
                    <w:top w:val="single" w:color="auto" w:sz="4" w:space="0"/>
                    <w:left w:val="nil"/>
                    <w:bottom w:val="single" w:color="auto" w:sz="4" w:space="0"/>
                    <w:right w:val="single" w:color="auto" w:sz="4" w:space="0"/>
                  </w:tcBorders>
                  <w:noWrap w:val="0"/>
                  <w:vAlign w:val="center"/>
                </w:tcPr>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1.</w:t>
                  </w:r>
                  <w:r>
                    <w:rPr>
                      <w:rFonts w:hint="eastAsia" w:ascii="宋体" w:hAnsi="宋体" w:eastAsia="宋体"/>
                      <w:color w:val="auto"/>
                      <w:sz w:val="24"/>
                      <w:szCs w:val="24"/>
                      <w:highlight w:val="none"/>
                    </w:rPr>
                    <w:t>项目总监理工程师：具有全国注册监理工程师（房屋建筑工程专业）得3分；具有中级职称加</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分，具有高级及以上职称加</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分</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具有一级建造师加3分</w:t>
                  </w:r>
                  <w:r>
                    <w:rPr>
                      <w:rFonts w:hint="eastAsia" w:ascii="宋体" w:hAnsi="宋体" w:eastAsia="宋体"/>
                      <w:color w:val="auto"/>
                      <w:sz w:val="24"/>
                      <w:szCs w:val="24"/>
                      <w:highlight w:val="none"/>
                    </w:rPr>
                    <w:t>；此项满分</w:t>
                  </w:r>
                  <w:r>
                    <w:rPr>
                      <w:rFonts w:hint="eastAsia" w:ascii="宋体" w:hAnsi="宋体" w:eastAsia="宋体"/>
                      <w:color w:val="auto"/>
                      <w:sz w:val="24"/>
                      <w:szCs w:val="24"/>
                      <w:highlight w:val="none"/>
                      <w:lang w:val="en-US" w:eastAsia="zh-CN"/>
                    </w:rPr>
                    <w:t>10</w:t>
                  </w:r>
                  <w:r>
                    <w:rPr>
                      <w:rFonts w:hint="eastAsia" w:ascii="宋体" w:hAnsi="宋体" w:eastAsia="宋体"/>
                      <w:color w:val="auto"/>
                      <w:sz w:val="24"/>
                      <w:szCs w:val="24"/>
                      <w:highlight w:val="none"/>
                    </w:rPr>
                    <w:t>分。</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土建专业监理工程师（1名）：具有全国注册监理工程师（房屋建筑工程专业）得3分，具有中级及以上职称加</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分，此项满分</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分。</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电气安装专业监理工程师（1名）：具有全国注册监理工程师证得3分，具有电气相关专业中级及以上职称加</w:t>
                  </w: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分，此项满分</w:t>
                  </w: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分。</w:t>
                  </w:r>
                </w:p>
                <w:p>
                  <w:pPr>
                    <w:wordWrap/>
                    <w:topLinePunct w:val="0"/>
                    <w:bidi w:val="0"/>
                    <w:spacing w:line="360" w:lineRule="auto"/>
                    <w:ind w:firstLine="470" w:firstLineChars="196"/>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注：（1）以上所有人员不得重复计分，人员注册证书须注册在供应商本单位（以主管部门网站查询截图为准）；</w:t>
                  </w:r>
                </w:p>
                <w:p>
                  <w:pPr>
                    <w:wordWrap/>
                    <w:topLinePunct w:val="0"/>
                    <w:bidi w:val="0"/>
                    <w:spacing w:line="360" w:lineRule="auto"/>
                    <w:ind w:firstLine="470" w:firstLineChars="196"/>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（2）以上所有人员须提供该单位购买社保的证明资料。</w:t>
                  </w:r>
                </w:p>
              </w:tc>
            </w:tr>
            <w:tr>
              <w:tblPrEx>
                <w:tblCellMar>
                  <w:top w:w="0" w:type="dxa"/>
                  <w:left w:w="108" w:type="dxa"/>
                  <w:bottom w:w="0" w:type="dxa"/>
                  <w:right w:w="108" w:type="dxa"/>
                </w:tblCellMar>
              </w:tblPrEx>
              <w:trPr>
                <w:trHeight w:val="1438" w:hRule="atLeast"/>
                <w:jc w:val="center"/>
              </w:trPr>
              <w:tc>
                <w:tcPr>
                  <w:tcW w:w="996"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服务</w:t>
                  </w:r>
                </w:p>
                <w:p>
                  <w:pPr>
                    <w:wordWrap/>
                    <w:topLinePunct w:val="0"/>
                    <w:bidi w:val="0"/>
                    <w:spacing w:line="360" w:lineRule="auto"/>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方案</w:t>
                  </w:r>
                </w:p>
              </w:tc>
              <w:tc>
                <w:tcPr>
                  <w:tcW w:w="855" w:type="dxa"/>
                  <w:tcBorders>
                    <w:top w:val="nil"/>
                    <w:left w:val="single" w:color="auto" w:sz="4" w:space="0"/>
                    <w:bottom w:val="single" w:color="auto" w:sz="4" w:space="0"/>
                    <w:right w:val="single" w:color="auto" w:sz="4" w:space="0"/>
                  </w:tcBorders>
                  <w:noWrap w:val="0"/>
                  <w:vAlign w:val="center"/>
                </w:tcPr>
                <w:p>
                  <w:pPr>
                    <w:wordWrap/>
                    <w:topLinePunct w:val="0"/>
                    <w:bidi w:val="0"/>
                    <w:spacing w:line="360" w:lineRule="auto"/>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20</w:t>
                  </w:r>
                  <w:r>
                    <w:rPr>
                      <w:rFonts w:hint="eastAsia" w:ascii="宋体" w:hAnsi="宋体" w:eastAsia="宋体"/>
                      <w:color w:val="auto"/>
                      <w:sz w:val="24"/>
                      <w:szCs w:val="24"/>
                      <w:highlight w:val="none"/>
                    </w:rPr>
                    <w:t>分</w:t>
                  </w:r>
                </w:p>
              </w:tc>
              <w:tc>
                <w:tcPr>
                  <w:tcW w:w="6135" w:type="dxa"/>
                  <w:tcBorders>
                    <w:top w:val="single" w:color="auto" w:sz="4" w:space="0"/>
                    <w:left w:val="nil"/>
                    <w:bottom w:val="single" w:color="auto" w:sz="4" w:space="0"/>
                    <w:right w:val="single" w:color="auto" w:sz="4" w:space="0"/>
                  </w:tcBorders>
                  <w:noWrap w:val="0"/>
                  <w:vAlign w:val="center"/>
                </w:tcPr>
                <w:p>
                  <w:pPr>
                    <w:wordWrap/>
                    <w:topLinePunct w:val="0"/>
                    <w:bidi w:val="0"/>
                    <w:spacing w:line="360" w:lineRule="auto"/>
                    <w:ind w:firstLine="470" w:firstLineChars="19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根据供应商提供的针对本项目的实施方案进行综合评审，内容包含但不限于：①质量控制措施、②安全控制措施、③进度控制措施、④造价控制措施、⑤合同及信息管理措施；以上5项内容为专门针对本项目编制，符合本项目实际情况，能够保障项目顺利实施的得20分，缺少一项内容扣4分，内容非专门针对本项目或内容不符合本项目实际情况的，每有一项扣2分，扣完为止。</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非专门针对本项目或内容不符合本项目实际情况指方案内容凭空编造不符合常识和基本逻辑、脱离采购需求、措施内容无法取得预期效果或无益于本项目采购目标的实现</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内容不符合本项目实际指描述中存在套用其他项目、其他采购人或与本项目无关的内容）</w:t>
                  </w:r>
                </w:p>
              </w:tc>
            </w:tr>
          </w:tbl>
          <w:p>
            <w:pPr>
              <w:rPr>
                <w:rFonts w:ascii="宋体" w:hAnsi="宋体" w:eastAsia="宋体" w:cs="Arial Unicode MS"/>
                <w:sz w:val="24"/>
              </w:rPr>
            </w:pPr>
          </w:p>
          <w:p>
            <w:pPr>
              <w:rPr>
                <w:rFonts w:ascii="宋体" w:hAnsi="宋体" w:eastAsia="宋体" w:cs="Arial Unicode MS"/>
                <w:sz w:val="24"/>
              </w:rPr>
            </w:pPr>
          </w:p>
          <w:p>
            <w:pPr>
              <w:rPr>
                <w:rFonts w:hint="eastAsia" w:ascii="宋体" w:hAnsi="宋体" w:eastAsia="宋体" w:cs="Arial Unicode MS"/>
                <w:sz w:val="24"/>
              </w:rPr>
            </w:pPr>
          </w:p>
        </w:tc>
      </w:tr>
    </w:tbl>
    <w:p>
      <w:pPr>
        <w:wordWrap/>
        <w:topLinePunct w:val="0"/>
        <w:bidi w:val="0"/>
        <w:jc w:val="center"/>
        <w:textAlignment w:val="auto"/>
        <w:rPr>
          <w:rFonts w:ascii="宋体" w:hAnsi="宋体" w:eastAsia="宋体" w:cs="仿宋"/>
          <w:color w:val="auto"/>
          <w:sz w:val="24"/>
          <w:szCs w:val="24"/>
          <w:highlight w:val="none"/>
          <w:lang w:val="zh-TW" w:eastAsia="zh-TW"/>
        </w:rPr>
      </w:pPr>
    </w:p>
    <w:p>
      <w:pPr>
        <w:pStyle w:val="20"/>
        <w:wordWrap/>
        <w:topLinePunct w:val="0"/>
        <w:bidi w:val="0"/>
        <w:spacing w:after="0"/>
        <w:textAlignment w:val="auto"/>
        <w:rPr>
          <w:rFonts w:ascii="宋体" w:hAnsi="宋体" w:eastAsia="宋体" w:cs="仿宋"/>
          <w:color w:val="auto"/>
          <w:sz w:val="24"/>
          <w:szCs w:val="24"/>
          <w:highlight w:val="none"/>
          <w:lang w:val="zh-TW" w:eastAsia="zh-TW"/>
        </w:rPr>
      </w:pPr>
    </w:p>
    <w:p>
      <w:pPr>
        <w:pStyle w:val="20"/>
        <w:wordWrap/>
        <w:topLinePunct w:val="0"/>
        <w:bidi w:val="0"/>
        <w:spacing w:after="0"/>
        <w:textAlignment w:val="auto"/>
        <w:rPr>
          <w:rFonts w:ascii="宋体" w:hAnsi="宋体" w:eastAsia="宋体" w:cs="仿宋"/>
          <w:color w:val="auto"/>
          <w:sz w:val="24"/>
          <w:szCs w:val="24"/>
          <w:highlight w:val="none"/>
          <w:lang w:val="zh-TW" w:eastAsia="zh-TW"/>
        </w:rPr>
      </w:pPr>
    </w:p>
    <w:p>
      <w:pPr>
        <w:wordWrap/>
        <w:topLinePunct w:val="0"/>
        <w:bidi w:val="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br w:type="page"/>
      </w:r>
    </w:p>
    <w:p>
      <w:pPr>
        <w:pStyle w:val="3"/>
        <w:wordWrap/>
        <w:topLinePunct w:val="0"/>
        <w:bidi w:val="0"/>
        <w:spacing w:before="0" w:after="0" w:line="400" w:lineRule="exact"/>
        <w:ind w:firstLine="2168" w:firstLineChars="600"/>
        <w:textAlignment w:val="auto"/>
        <w:rPr>
          <w:rFonts w:ascii="宋体" w:hAnsi="宋体" w:eastAsia="宋体"/>
          <w:color w:val="auto"/>
          <w:sz w:val="36"/>
          <w:szCs w:val="36"/>
          <w:highlight w:val="none"/>
        </w:rPr>
      </w:pPr>
      <w:r>
        <w:rPr>
          <w:rFonts w:hint="eastAsia" w:ascii="宋体" w:hAnsi="宋体" w:eastAsia="宋体"/>
          <w:color w:val="auto"/>
          <w:sz w:val="36"/>
          <w:szCs w:val="36"/>
          <w:highlight w:val="none"/>
        </w:rPr>
        <w:t>第六章 比选申请文件格式</w:t>
      </w:r>
      <w:bookmarkEnd w:id="24"/>
    </w:p>
    <w:p>
      <w:pPr>
        <w:wordWrap/>
        <w:topLinePunct w:val="0"/>
        <w:bidi w:val="0"/>
        <w:ind w:firstLine="3614" w:firstLineChars="1000"/>
        <w:textAlignment w:val="auto"/>
        <w:rPr>
          <w:rFonts w:ascii="宋体" w:hAnsi="宋体" w:eastAsia="宋体" w:cs="Times New Roman"/>
          <w:b/>
          <w:color w:val="auto"/>
          <w:sz w:val="36"/>
          <w:highlight w:val="none"/>
        </w:rPr>
      </w:pPr>
      <w:r>
        <w:rPr>
          <w:rFonts w:ascii="宋体" w:hAnsi="宋体" w:eastAsia="宋体" w:cs="Times New Roman"/>
          <w:b/>
          <w:color w:val="auto"/>
          <w:sz w:val="36"/>
          <w:highlight w:val="none"/>
        </w:rPr>
        <w:t>（正本）</w:t>
      </w:r>
    </w:p>
    <w:p>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四川铁道职业学院2024年修缮项目</w:t>
      </w:r>
    </w:p>
    <w:p>
      <w:pPr>
        <w:wordWrap/>
        <w:topLinePunct w:val="0"/>
        <w:bidi w:val="0"/>
        <w:spacing w:line="360" w:lineRule="auto"/>
        <w:ind w:left="0" w:leftChars="0" w:hanging="10" w:firstLineChars="0"/>
        <w:jc w:val="center"/>
        <w:textAlignment w:val="auto"/>
        <w:rPr>
          <w:rFonts w:hint="eastAsia" w:ascii="宋体" w:hAnsi="宋体" w:eastAsia="宋体"/>
          <w:b/>
          <w:color w:val="auto"/>
          <w:sz w:val="52"/>
          <w:szCs w:val="52"/>
          <w:highlight w:val="none"/>
          <w:lang w:val="en-US" w:eastAsia="zh-CN"/>
        </w:rPr>
      </w:pPr>
      <w:r>
        <w:rPr>
          <w:rFonts w:hint="eastAsia" w:ascii="宋体" w:hAnsi="宋体" w:eastAsia="宋体"/>
          <w:b/>
          <w:color w:val="auto"/>
          <w:sz w:val="52"/>
          <w:szCs w:val="52"/>
          <w:highlight w:val="none"/>
          <w:lang w:val="en-US" w:eastAsia="zh-CN"/>
        </w:rPr>
        <w:t>监理服务</w:t>
      </w:r>
    </w:p>
    <w:p>
      <w:pPr>
        <w:wordWrap/>
        <w:topLinePunct w:val="0"/>
        <w:bidi w:val="0"/>
        <w:spacing w:line="360" w:lineRule="auto"/>
        <w:ind w:left="0" w:leftChars="0" w:hanging="10" w:firstLineChars="0"/>
        <w:jc w:val="center"/>
        <w:textAlignment w:val="auto"/>
        <w:rPr>
          <w:rFonts w:ascii="宋体" w:hAnsi="宋体" w:eastAsia="宋体"/>
          <w:b/>
          <w:color w:val="auto"/>
          <w:sz w:val="52"/>
          <w:szCs w:val="52"/>
          <w:highlight w:val="none"/>
        </w:rPr>
      </w:pPr>
      <w:r>
        <w:rPr>
          <w:rFonts w:hint="eastAsia" w:ascii="宋体" w:hAnsi="宋体" w:eastAsia="宋体"/>
          <w:b/>
          <w:color w:val="auto"/>
          <w:sz w:val="52"/>
          <w:szCs w:val="52"/>
          <w:highlight w:val="none"/>
        </w:rPr>
        <w:t>竞争性比选申请文件</w:t>
      </w:r>
    </w:p>
    <w:p>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pPr>
        <w:wordWrap/>
        <w:topLinePunct w:val="0"/>
        <w:bidi w:val="0"/>
        <w:spacing w:line="360" w:lineRule="auto"/>
        <w:ind w:firstLine="1446" w:firstLineChars="200"/>
        <w:jc w:val="left"/>
        <w:textAlignment w:val="auto"/>
        <w:rPr>
          <w:rFonts w:ascii="宋体" w:hAnsi="宋体" w:eastAsia="宋体"/>
          <w:b/>
          <w:color w:val="auto"/>
          <w:sz w:val="72"/>
          <w:szCs w:val="72"/>
          <w:highlight w:val="none"/>
        </w:rPr>
      </w:pPr>
    </w:p>
    <w:p>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u w:val="single"/>
        </w:rPr>
      </w:pPr>
      <w:r>
        <w:rPr>
          <w:rFonts w:hint="eastAsia" w:ascii="宋体" w:hAnsi="宋体" w:eastAsia="宋体" w:cs="Times New Roman"/>
          <w:b/>
          <w:color w:val="auto"/>
          <w:sz w:val="32"/>
          <w:highlight w:val="none"/>
        </w:rPr>
        <w:t>申请人</w:t>
      </w:r>
      <w:r>
        <w:rPr>
          <w:rFonts w:ascii="宋体" w:hAnsi="宋体" w:eastAsia="宋体" w:cs="Times New Roman"/>
          <w:b/>
          <w:color w:val="auto"/>
          <w:sz w:val="32"/>
          <w:highlight w:val="none"/>
        </w:rPr>
        <w:t>名称：</w:t>
      </w:r>
    </w:p>
    <w:p>
      <w:pPr>
        <w:wordWrap/>
        <w:topLinePunct w:val="0"/>
        <w:bidi w:val="0"/>
        <w:spacing w:line="360" w:lineRule="auto"/>
        <w:ind w:firstLine="643" w:firstLineChars="200"/>
        <w:jc w:val="left"/>
        <w:textAlignment w:val="auto"/>
        <w:rPr>
          <w:rFonts w:ascii="宋体" w:hAnsi="宋体" w:eastAsia="宋体" w:cs="Times New Roman"/>
          <w:b/>
          <w:color w:val="auto"/>
          <w:sz w:val="32"/>
          <w:highlight w:val="none"/>
        </w:rPr>
      </w:pPr>
      <w:r>
        <w:rPr>
          <w:rFonts w:hint="eastAsia" w:ascii="宋体" w:hAnsi="宋体" w:eastAsia="宋体" w:cs="Times New Roman"/>
          <w:b/>
          <w:color w:val="auto"/>
          <w:sz w:val="32"/>
          <w:highlight w:val="none"/>
        </w:rPr>
        <w:t>项目</w:t>
      </w:r>
      <w:r>
        <w:rPr>
          <w:rFonts w:ascii="宋体" w:hAnsi="宋体" w:eastAsia="宋体" w:cs="Times New Roman"/>
          <w:b/>
          <w:color w:val="auto"/>
          <w:sz w:val="32"/>
          <w:highlight w:val="none"/>
        </w:rPr>
        <w:t>编号：</w:t>
      </w:r>
    </w:p>
    <w:p>
      <w:pPr>
        <w:pStyle w:val="9"/>
        <w:wordWrap/>
        <w:topLinePunct w:val="0"/>
        <w:bidi w:val="0"/>
        <w:spacing w:after="0"/>
        <w:ind w:firstLine="643" w:firstLineChars="200"/>
        <w:textAlignment w:val="auto"/>
        <w:rPr>
          <w:rFonts w:ascii="宋体" w:hAnsi="宋体" w:eastAsia="宋体"/>
          <w:color w:val="auto"/>
          <w:highlight w:val="none"/>
        </w:rPr>
      </w:pPr>
      <w:r>
        <w:rPr>
          <w:rFonts w:hint="eastAsia" w:ascii="宋体" w:hAnsi="宋体" w:eastAsia="宋体" w:cs="Times New Roman"/>
          <w:b/>
          <w:color w:val="auto"/>
          <w:sz w:val="32"/>
          <w:highlight w:val="none"/>
        </w:rPr>
        <w:t>包号：（若有）</w:t>
      </w: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Times New Roman"/>
          <w:b/>
          <w:color w:val="auto"/>
          <w:sz w:val="32"/>
          <w:szCs w:val="32"/>
          <w:highlight w:val="none"/>
        </w:rPr>
      </w:pP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Times New Roman"/>
          <w:b/>
          <w:color w:val="auto"/>
          <w:sz w:val="36"/>
          <w:highlight w:val="none"/>
        </w:rPr>
      </w:pPr>
    </w:p>
    <w:p>
      <w:pPr>
        <w:wordWrap/>
        <w:topLinePunct w:val="0"/>
        <w:bidi w:val="0"/>
        <w:spacing w:line="440" w:lineRule="exact"/>
        <w:jc w:val="center"/>
        <w:textAlignment w:val="auto"/>
        <w:rPr>
          <w:rFonts w:ascii="宋体" w:hAnsi="宋体" w:eastAsia="宋体" w:cs="Times New Roman"/>
          <w:b/>
          <w:color w:val="auto"/>
          <w:sz w:val="36"/>
          <w:highlight w:val="none"/>
        </w:rPr>
      </w:pPr>
    </w:p>
    <w:p>
      <w:pPr>
        <w:wordWrap/>
        <w:topLinePunct w:val="0"/>
        <w:bidi w:val="0"/>
        <w:jc w:val="center"/>
        <w:textAlignment w:val="auto"/>
        <w:rPr>
          <w:rFonts w:ascii="宋体" w:hAnsi="宋体" w:eastAsia="宋体" w:cs="Arial"/>
          <w:b/>
          <w:bCs/>
          <w:color w:val="auto"/>
          <w:sz w:val="32"/>
          <w:szCs w:val="32"/>
          <w:highlight w:val="none"/>
        </w:rPr>
      </w:pPr>
      <w:r>
        <w:rPr>
          <w:rFonts w:hint="eastAsia" w:ascii="宋体" w:hAnsi="宋体" w:eastAsia="宋体" w:cs="Times New Roman"/>
          <w:b/>
          <w:color w:val="auto"/>
          <w:sz w:val="32"/>
          <w:highlight w:val="none"/>
          <w:lang w:val="en-US" w:eastAsia="zh-CN"/>
        </w:rPr>
        <w:t xml:space="preserve">                           </w:t>
      </w:r>
      <w:r>
        <w:rPr>
          <w:rFonts w:ascii="宋体" w:hAnsi="宋体" w:eastAsia="宋体" w:cs="Times New Roman"/>
          <w:b/>
          <w:color w:val="auto"/>
          <w:sz w:val="32"/>
          <w:highlight w:val="none"/>
        </w:rPr>
        <w:t>日期：</w:t>
      </w:r>
      <w:r>
        <w:rPr>
          <w:rFonts w:hint="eastAsia" w:ascii="宋体" w:hAnsi="宋体" w:eastAsia="宋体" w:cs="Times New Roman"/>
          <w:b/>
          <w:color w:val="auto"/>
          <w:sz w:val="32"/>
          <w:highlight w:val="none"/>
        </w:rPr>
        <w:t>XX年XX</w:t>
      </w:r>
      <w:r>
        <w:rPr>
          <w:rFonts w:ascii="宋体" w:hAnsi="宋体" w:eastAsia="宋体" w:cs="Times New Roman"/>
          <w:b/>
          <w:color w:val="auto"/>
          <w:sz w:val="32"/>
          <w:highlight w:val="none"/>
        </w:rPr>
        <w:t>月</w:t>
      </w:r>
      <w:r>
        <w:rPr>
          <w:rFonts w:hint="eastAsia" w:ascii="宋体" w:hAnsi="宋体" w:eastAsia="宋体" w:cs="Times New Roman"/>
          <w:b/>
          <w:color w:val="auto"/>
          <w:sz w:val="32"/>
          <w:highlight w:val="none"/>
        </w:rPr>
        <w:t>XX</w:t>
      </w:r>
      <w:r>
        <w:rPr>
          <w:rFonts w:ascii="宋体" w:hAnsi="宋体" w:eastAsia="宋体" w:cs="Times New Roman"/>
          <w:b/>
          <w:color w:val="auto"/>
          <w:sz w:val="32"/>
          <w:highlight w:val="none"/>
        </w:rPr>
        <w:t>日</w:t>
      </w:r>
    </w:p>
    <w:p>
      <w:pPr>
        <w:wordWrap/>
        <w:topLinePunct w:val="0"/>
        <w:bidi w:val="0"/>
        <w:textAlignment w:val="auto"/>
        <w:rPr>
          <w:rFonts w:hint="eastAsia" w:ascii="宋体" w:hAnsi="宋体" w:eastAsia="宋体"/>
          <w:color w:val="auto"/>
          <w:sz w:val="32"/>
          <w:highlight w:val="none"/>
        </w:rPr>
      </w:pPr>
      <w:bookmarkStart w:id="27" w:name="_Toc217446082"/>
      <w:r>
        <w:rPr>
          <w:rFonts w:hint="eastAsia" w:ascii="宋体" w:hAnsi="宋体" w:eastAsia="宋体"/>
          <w:color w:val="auto"/>
          <w:sz w:val="32"/>
          <w:highlight w:val="none"/>
        </w:rPr>
        <w:br w:type="page"/>
      </w:r>
    </w:p>
    <w:bookmarkEnd w:id="27"/>
    <w:p>
      <w:pPr>
        <w:pStyle w:val="4"/>
        <w:numPr>
          <w:ilvl w:val="0"/>
          <w:numId w:val="5"/>
        </w:numPr>
        <w:wordWrap/>
        <w:topLinePunct w:val="0"/>
        <w:bidi w:val="0"/>
        <w:spacing w:before="0" w:after="0" w:line="400" w:lineRule="exact"/>
        <w:ind w:firstLine="3534" w:firstLineChars="1100"/>
        <w:jc w:val="both"/>
        <w:textAlignment w:val="auto"/>
        <w:rPr>
          <w:rFonts w:hint="eastAsia" w:ascii="宋体" w:hAnsi="宋体" w:eastAsia="宋体"/>
          <w:color w:val="auto"/>
          <w:sz w:val="32"/>
          <w:highlight w:val="none"/>
        </w:rPr>
      </w:pPr>
      <w:r>
        <w:rPr>
          <w:rFonts w:hint="eastAsia" w:ascii="宋体" w:hAnsi="宋体" w:eastAsia="宋体"/>
          <w:color w:val="auto"/>
          <w:sz w:val="32"/>
          <w:highlight w:val="none"/>
        </w:rPr>
        <w:t>申请函</w:t>
      </w:r>
    </w:p>
    <w:p>
      <w:pPr>
        <w:pStyle w:val="4"/>
        <w:numPr>
          <w:ilvl w:val="0"/>
          <w:numId w:val="0"/>
        </w:numPr>
        <w:wordWrap/>
        <w:topLinePunct w:val="0"/>
        <w:bidi w:val="0"/>
        <w:spacing w:before="0" w:after="0" w:line="400" w:lineRule="exact"/>
        <w:jc w:val="both"/>
        <w:textAlignment w:val="auto"/>
        <w:rPr>
          <w:rFonts w:ascii="宋体" w:hAnsi="宋体" w:eastAsia="宋体"/>
          <w:bCs/>
          <w:color w:val="auto"/>
          <w:sz w:val="24"/>
          <w:szCs w:val="24"/>
          <w:highlight w:val="none"/>
          <w:u w:val="single"/>
        </w:rPr>
      </w:pPr>
      <w:r>
        <w:rPr>
          <w:rFonts w:hint="eastAsia" w:ascii="宋体" w:hAnsi="宋体" w:eastAsia="宋体"/>
          <w:bCs/>
          <w:color w:val="auto"/>
          <w:sz w:val="24"/>
          <w:szCs w:val="24"/>
          <w:highlight w:val="none"/>
          <w:u w:val="single"/>
        </w:rPr>
        <w:t>xxxxxxxxx</w:t>
      </w:r>
      <w:r>
        <w:rPr>
          <w:rFonts w:hint="eastAsia" w:ascii="宋体" w:hAnsi="宋体" w:eastAsia="宋体"/>
          <w:bCs/>
          <w:color w:val="auto"/>
          <w:sz w:val="24"/>
          <w:szCs w:val="24"/>
          <w:highlight w:val="none"/>
        </w:rPr>
        <w:t>：</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我方全面研究了“</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”项目比选文件（比选编号：</w:t>
      </w:r>
      <w:r>
        <w:rPr>
          <w:rFonts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 xml:space="preserve"> ），决定参加贵单位组织的本项目比选。</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我方授权</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（姓名、职务）代表我方</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（申请人名称）全权处理本项目比选的有关事宜。</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1、我方自愿按照比选文件规定的各项要求向比选人提供所需货物/服务。</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2、一旦我方中选，我方将严格履行合同规定的责任和义务。</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3</w:t>
      </w:r>
      <w:r>
        <w:rPr>
          <w:rFonts w:hint="eastAsia" w:ascii="宋体" w:hAnsi="宋体" w:eastAsia="宋体"/>
          <w:bCs/>
          <w:color w:val="auto"/>
          <w:sz w:val="24"/>
          <w:szCs w:val="24"/>
          <w:highlight w:val="none"/>
        </w:rPr>
        <w:t>、我方为本项目提交的</w:t>
      </w:r>
      <w:r>
        <w:rPr>
          <w:rFonts w:hint="eastAsia" w:ascii="宋体" w:hAnsi="宋体" w:eastAsia="宋体"/>
          <w:color w:val="auto"/>
          <w:sz w:val="24"/>
          <w:highlight w:val="none"/>
        </w:rPr>
        <w:t>比选申请</w:t>
      </w:r>
      <w:r>
        <w:rPr>
          <w:rFonts w:hint="eastAsia" w:ascii="宋体" w:hAnsi="宋体" w:eastAsia="宋体"/>
          <w:bCs/>
          <w:color w:val="auto"/>
          <w:sz w:val="24"/>
          <w:szCs w:val="24"/>
          <w:highlight w:val="none"/>
        </w:rPr>
        <w:t>文件正本1份。</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4</w:t>
      </w:r>
      <w:r>
        <w:rPr>
          <w:rFonts w:hint="eastAsia" w:ascii="宋体" w:hAnsi="宋体" w:eastAsia="宋体"/>
          <w:bCs/>
          <w:color w:val="auto"/>
          <w:sz w:val="24"/>
          <w:szCs w:val="24"/>
          <w:highlight w:val="none"/>
        </w:rPr>
        <w:t>、我方承诺比选有效期为比选截止日后</w:t>
      </w:r>
      <w:r>
        <w:rPr>
          <w:rFonts w:hint="eastAsia" w:ascii="宋体" w:hAnsi="宋体" w:eastAsia="宋体"/>
          <w:bCs/>
          <w:color w:val="auto"/>
          <w:sz w:val="24"/>
          <w:szCs w:val="24"/>
          <w:highlight w:val="none"/>
          <w:u w:val="single"/>
        </w:rPr>
        <w:t>XXX</w:t>
      </w:r>
      <w:r>
        <w:rPr>
          <w:rFonts w:hint="eastAsia" w:ascii="宋体" w:hAnsi="宋体" w:eastAsia="宋体"/>
          <w:bCs/>
          <w:color w:val="auto"/>
          <w:sz w:val="24"/>
          <w:szCs w:val="24"/>
          <w:highlight w:val="none"/>
        </w:rPr>
        <w:t>天（日历日）。</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5</w:t>
      </w:r>
      <w:r>
        <w:rPr>
          <w:rFonts w:hint="eastAsia" w:ascii="宋体" w:hAnsi="宋体" w:eastAsia="宋体"/>
          <w:bCs/>
          <w:color w:val="auto"/>
          <w:sz w:val="24"/>
          <w:szCs w:val="24"/>
          <w:highlight w:val="none"/>
        </w:rPr>
        <w:t>、我方愿意提供贵校可能另外要求的，与比选有关的文件资料，并保证我方已提供和将要提供的文件资料是真实、准确的。</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ascii="宋体" w:hAnsi="宋体" w:eastAsia="宋体"/>
          <w:bCs/>
          <w:color w:val="auto"/>
          <w:sz w:val="24"/>
          <w:szCs w:val="24"/>
          <w:highlight w:val="none"/>
        </w:rPr>
        <w:t>6</w:t>
      </w:r>
      <w:r>
        <w:rPr>
          <w:rFonts w:hint="eastAsia" w:ascii="宋体" w:hAnsi="宋体" w:eastAsia="宋体"/>
          <w:bCs/>
          <w:color w:val="auto"/>
          <w:sz w:val="24"/>
          <w:szCs w:val="24"/>
          <w:highlight w:val="none"/>
        </w:rPr>
        <w:t>、我方完全理解比选人不一定将合同授予最低报价的</w:t>
      </w:r>
      <w:r>
        <w:rPr>
          <w:rFonts w:hint="eastAsia" w:ascii="宋体" w:hAnsi="宋体" w:eastAsia="宋体"/>
          <w:color w:val="auto"/>
          <w:sz w:val="24"/>
          <w:highlight w:val="none"/>
        </w:rPr>
        <w:t>申请人</w:t>
      </w:r>
      <w:r>
        <w:rPr>
          <w:rFonts w:hint="eastAsia" w:ascii="宋体" w:hAnsi="宋体" w:eastAsia="宋体"/>
          <w:bCs/>
          <w:color w:val="auto"/>
          <w:sz w:val="24"/>
          <w:szCs w:val="24"/>
          <w:highlight w:val="none"/>
        </w:rPr>
        <w:t>的行为。</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color w:val="auto"/>
          <w:sz w:val="24"/>
          <w:highlight w:val="none"/>
        </w:rPr>
        <w:t>申请人名称</w:t>
      </w:r>
      <w:r>
        <w:rPr>
          <w:rFonts w:hint="eastAsia" w:ascii="宋体" w:hAnsi="宋体" w:eastAsia="宋体"/>
          <w:bCs/>
          <w:color w:val="auto"/>
          <w:sz w:val="24"/>
          <w:szCs w:val="24"/>
          <w:highlight w:val="none"/>
        </w:rPr>
        <w:t>：（盖章）</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bCs/>
          <w:color w:val="auto"/>
          <w:sz w:val="24"/>
          <w:szCs w:val="24"/>
          <w:highlight w:val="none"/>
        </w:rPr>
        <w:t>或授权代表（签字）：</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通讯地址：</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邮政编码：</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联系电话：</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传真：</w:t>
      </w:r>
    </w:p>
    <w:p>
      <w:pPr>
        <w:pStyle w:val="13"/>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bCs/>
          <w:color w:val="auto"/>
          <w:sz w:val="24"/>
          <w:szCs w:val="24"/>
          <w:highlight w:val="none"/>
        </w:rPr>
      </w:pPr>
      <w:r>
        <w:rPr>
          <w:rFonts w:hint="eastAsia" w:ascii="宋体" w:hAnsi="宋体" w:eastAsia="宋体"/>
          <w:bCs/>
          <w:color w:val="auto"/>
          <w:sz w:val="24"/>
          <w:szCs w:val="24"/>
          <w:highlight w:val="none"/>
        </w:rPr>
        <w:t>日期：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宋体" w:hAnsi="宋体" w:eastAsia="宋体"/>
          <w:b/>
          <w:color w:val="auto"/>
          <w:sz w:val="32"/>
          <w:szCs w:val="32"/>
          <w:highlight w:val="none"/>
        </w:rPr>
      </w:pPr>
      <w:r>
        <w:rPr>
          <w:rFonts w:hint="eastAsia" w:ascii="宋体" w:hAnsi="宋体" w:eastAsia="宋体"/>
          <w:b/>
          <w:color w:val="auto"/>
          <w:sz w:val="32"/>
          <w:szCs w:val="32"/>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二、法定代表人/单位负责人授权书</w:t>
      </w:r>
    </w:p>
    <w:p>
      <w:pPr>
        <w:widowControl/>
        <w:wordWrap/>
        <w:topLinePunct w:val="0"/>
        <w:bidi w:val="0"/>
        <w:spacing w:line="360" w:lineRule="atLeast"/>
        <w:jc w:val="left"/>
        <w:textAlignment w:val="auto"/>
        <w:rPr>
          <w:rFonts w:ascii="宋体" w:hAnsi="宋体" w:eastAsia="宋体"/>
          <w:b/>
          <w:color w:val="auto"/>
          <w:sz w:val="2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特此声明。</w:t>
      </w:r>
    </w:p>
    <w:p>
      <w:pPr>
        <w:pStyle w:val="5"/>
        <w:pageBreakBefore w:val="0"/>
        <w:kinsoku/>
        <w:wordWrap/>
        <w:overflowPunct/>
        <w:topLinePunct w:val="0"/>
        <w:autoSpaceDE/>
        <w:autoSpaceDN/>
        <w:bidi w:val="0"/>
        <w:adjustRightInd/>
        <w:snapToGrid/>
        <w:spacing w:before="0" w:after="0" w:line="560" w:lineRule="exact"/>
        <w:textAlignment w:val="auto"/>
        <w:rPr>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法定代表人/单位负责人（委托人）签字或加盖个人印章：XXXX。</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授权代表（被授权人）签字：XXXX。</w:t>
      </w:r>
    </w:p>
    <w:p>
      <w:pPr>
        <w:keepNext w:val="0"/>
        <w:keepLines w:val="0"/>
        <w:pageBreakBefore w:val="0"/>
        <w:widowControl/>
        <w:kinsoku/>
        <w:wordWrap/>
        <w:overflowPunct/>
        <w:topLinePunct w:val="0"/>
        <w:autoSpaceDE/>
        <w:autoSpaceDN/>
        <w:bidi w:val="0"/>
        <w:adjustRightInd/>
        <w:snapToGrid/>
        <w:spacing w:line="56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申请人名称：XXXX（单位盖章）。</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pPr>
        <w:widowControl/>
        <w:wordWrap/>
        <w:topLinePunct w:val="0"/>
        <w:bidi w:val="0"/>
        <w:spacing w:line="360" w:lineRule="atLeast"/>
        <w:jc w:val="left"/>
        <w:textAlignment w:val="auto"/>
        <w:rPr>
          <w:rFonts w:ascii="宋体" w:hAnsi="宋体" w:eastAsia="宋体"/>
          <w:b/>
          <w:color w:val="auto"/>
          <w:sz w:val="24"/>
          <w:highlight w:val="none"/>
        </w:rPr>
      </w:pPr>
      <w:r>
        <w:rPr>
          <w:rFonts w:ascii="宋体"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color w:val="auto"/>
          <w:highlight w:val="none"/>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wordWrap/>
        <w:topLinePunct w:val="0"/>
        <w:bidi w:val="0"/>
        <w:spacing w:line="360" w:lineRule="atLeast"/>
        <w:jc w:val="left"/>
        <w:textAlignment w:val="auto"/>
        <w:rPr>
          <w:rFonts w:ascii="宋体" w:hAnsi="宋体" w:eastAsia="宋体"/>
          <w:b/>
          <w:color w:val="auto"/>
          <w:sz w:val="24"/>
          <w:highlight w:val="none"/>
        </w:rPr>
      </w:pPr>
    </w:p>
    <w:p>
      <w:pPr>
        <w:widowControl/>
        <w:wordWrap/>
        <w:topLinePunct w:val="0"/>
        <w:bidi w:val="0"/>
        <w:spacing w:line="360" w:lineRule="atLeast"/>
        <w:jc w:val="left"/>
        <w:textAlignment w:val="auto"/>
        <w:rPr>
          <w:rFonts w:ascii="宋体" w:hAnsi="宋体" w:eastAsia="宋体"/>
          <w:b/>
          <w:color w:val="auto"/>
          <w:sz w:val="24"/>
          <w:highlight w:val="none"/>
        </w:rPr>
      </w:pPr>
    </w:p>
    <w:p>
      <w:pPr>
        <w:widowControl/>
        <w:wordWrap/>
        <w:topLinePunct w:val="0"/>
        <w:bidi w:val="0"/>
        <w:spacing w:line="360" w:lineRule="atLeast"/>
        <w:jc w:val="left"/>
        <w:textAlignment w:val="auto"/>
        <w:rPr>
          <w:rFonts w:ascii="宋体" w:hAnsi="宋体" w:eastAsia="宋体"/>
          <w:b/>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wordWrap/>
        <w:topLinePunct w:val="0"/>
        <w:bidi w:val="0"/>
        <w:spacing w:line="400" w:lineRule="exact"/>
        <w:ind w:firstLine="480" w:firstLineChars="200"/>
        <w:textAlignment w:val="auto"/>
        <w:rPr>
          <w:rFonts w:ascii="宋体" w:hAnsi="宋体" w:eastAsia="宋体"/>
          <w:color w:val="auto"/>
          <w:sz w:val="24"/>
          <w:highlight w:val="none"/>
        </w:rPr>
      </w:pP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rPr>
        <w:t>注：</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1.非法人单位提供单位负责人授权书。 </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2.须附法定代表人/单位负责人和授权代表身份证复印件（身份证两面均应复印），否则无效。 </w:t>
      </w:r>
    </w:p>
    <w:p>
      <w:pPr>
        <w:keepNext w:val="0"/>
        <w:keepLines w:val="0"/>
        <w:pageBreakBefore w:val="0"/>
        <w:widowControl/>
        <w:kinsoku/>
        <w:wordWrap/>
        <w:overflowPunct/>
        <w:topLinePunct w:val="0"/>
        <w:autoSpaceDE/>
        <w:autoSpaceDN/>
        <w:bidi w:val="0"/>
        <w:adjustRightInd/>
        <w:snapToGrid/>
        <w:spacing w:line="540" w:lineRule="exact"/>
        <w:ind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 xml:space="preserve">3.法定代表人/单位负责人参与比选时只须提供法定代表人/单位负责人身份证复印件。 </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eastAsia="宋体"/>
          <w:color w:val="auto"/>
          <w:highlight w:val="none"/>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color w:val="auto"/>
          <w:sz w:val="24"/>
          <w:highlight w:val="none"/>
        </w:rPr>
        <w:t>4.申请人的法定代表人/单位负责人为外籍人士的，则提供护照复印件。</w:t>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三、承诺函</w:t>
      </w:r>
    </w:p>
    <w:p>
      <w:pPr>
        <w:keepNext w:val="0"/>
        <w:keepLines w:val="0"/>
        <w:pageBreakBefore w:val="0"/>
        <w:widowControl/>
        <w:kinsoku/>
        <w:wordWrap/>
        <w:overflowPunct/>
        <w:topLinePunct w:val="0"/>
        <w:autoSpaceDE/>
        <w:autoSpaceDN/>
        <w:bidi w:val="0"/>
        <w:adjustRightInd/>
        <w:snapToGrid/>
        <w:spacing w:line="530" w:lineRule="exact"/>
        <w:ind w:left="0" w:leftChars="0"/>
        <w:jc w:val="left"/>
        <w:textAlignment w:val="auto"/>
        <w:rPr>
          <w:rFonts w:ascii="宋体" w:hAnsi="宋体" w:eastAsia="宋体"/>
          <w:color w:val="auto"/>
          <w:sz w:val="24"/>
          <w:highlight w:val="none"/>
        </w:rPr>
      </w:pPr>
      <w:r>
        <w:rPr>
          <w:rFonts w:hint="eastAsia" w:ascii="宋体" w:hAnsi="宋体" w:eastAsia="宋体"/>
          <w:color w:val="auto"/>
          <w:sz w:val="24"/>
          <w:highlight w:val="none"/>
        </w:rPr>
        <w:t>四川铁道职业学院：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我方全面研究了“项目名称1”比选文件（项目编号：系统生成），决定参加贵单位组织的本项目比选采购。</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1.具备《中华人民共和国政府采购法》第二十二条规定的条件：</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（1）具有独立承担民事责任的能力；</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（5）参加采购活动前三年内，在经营活动中没有重大违法记录；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（6）法律、行政法规规定的其他条件；</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highlight w:val="none"/>
        </w:rPr>
      </w:pPr>
      <w:r>
        <w:rPr>
          <w:rFonts w:hint="eastAsia" w:ascii="宋体" w:hAnsi="宋体" w:eastAsia="宋体"/>
          <w:color w:val="auto"/>
          <w:sz w:val="24"/>
          <w:highlight w:val="none"/>
        </w:rPr>
        <w:t>（7）根据采购项目提出的特殊条件</w:t>
      </w:r>
      <w:r>
        <w:rPr>
          <w:rFonts w:ascii="宋体" w:hAnsi="宋体" w:eastAsia="宋体"/>
          <w:color w:val="auto"/>
          <w:sz w:val="24"/>
          <w:highlight w:val="none"/>
        </w:rPr>
        <w:t>。</w:t>
      </w:r>
    </w:p>
    <w:p>
      <w:pPr>
        <w:keepNext w:val="0"/>
        <w:keepLines w:val="0"/>
        <w:pageBreakBefore w:val="0"/>
        <w:kinsoku/>
        <w:wordWrap/>
        <w:overflowPunct/>
        <w:topLinePunct w:val="0"/>
        <w:autoSpaceDE/>
        <w:autoSpaceDN/>
        <w:bidi w:val="0"/>
        <w:adjustRightInd/>
        <w:snapToGrid/>
        <w:spacing w:line="530" w:lineRule="exact"/>
        <w:ind w:left="0" w:leftChars="0" w:firstLine="482" w:firstLineChars="200"/>
        <w:jc w:val="left"/>
        <w:textAlignment w:val="auto"/>
        <w:rPr>
          <w:rFonts w:ascii="宋体" w:hAnsi="宋体" w:eastAsia="宋体"/>
          <w:b/>
          <w:bCs/>
          <w:color w:val="auto"/>
          <w:sz w:val="24"/>
          <w:highlight w:val="none"/>
        </w:rPr>
      </w:pPr>
      <w:r>
        <w:rPr>
          <w:rFonts w:hint="eastAsia" w:ascii="宋体" w:hAnsi="宋体" w:eastAsia="宋体"/>
          <w:b/>
          <w:bCs/>
          <w:color w:val="auto"/>
          <w:sz w:val="24"/>
          <w:highlight w:val="none"/>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3.在参加本次采购活动中，不存在与单位负责人为同一人或者存在直接控股、管理关系的其他申请人参与同一合同项下的采购活动的行为。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4.为采购项目提供整体设计、规范编制或者项目管理、监理、检测等服务的申请人，不得再参加该采购项目的其他采购活动，我方承诺不属于此类禁止参加本项目的申请人。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5.在参加本次采购活动中，不存在和其他申请人在同一合同项下的采购项目中，同时委托同一个自然人、同一家庭的人员、同一单位的人员作为代理人的行为。</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6.我方实际控制人或者中高级管理人员，不存在同时是比选人工作人员的情形。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7.不存在同一母学校的两家以上的子学校，以不同申请人身份同时参加本项目同一合同项下的采购活动的情形。</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8.我方与比选人不存在关联关系，也不是比选人的母学校或子学校。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9.比选申请文件中提供的任何资料和技术、服务、商务等响应承诺情况都是真实的、有效的、合法的。</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11.国家或行业主管部门对采购产品的技术标准、质量标准和资格资质条件等有强制性规定的，我方承诺符合其要求。</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13.我方自愿按照比选文件规定的各项要求向比选人提供所需货物和服务。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14.一旦我方成交，我方将严格履行采购合同规定的责任和义务。</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15.我方愿意提供贵单位可能另外要求的，与比选报价有关的文件资料，并保证我方已提供和将要提供的文件资料是真实、准确的。</w:t>
      </w:r>
    </w:p>
    <w:p>
      <w:pPr>
        <w:keepNext w:val="0"/>
        <w:keepLines w:val="0"/>
        <w:pageBreakBefore w:val="0"/>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16.我方接受比选人按照采购合同约定金额支付采购资金，报价以比选申请文件为准。</w:t>
      </w:r>
    </w:p>
    <w:p>
      <w:pPr>
        <w:keepNext w:val="0"/>
        <w:keepLines w:val="0"/>
        <w:pageBreakBefore w:val="0"/>
        <w:widowControl/>
        <w:kinsoku/>
        <w:wordWrap/>
        <w:overflowPunct/>
        <w:topLinePunct w:val="0"/>
        <w:autoSpaceDE/>
        <w:autoSpaceDN/>
        <w:bidi w:val="0"/>
        <w:adjustRightInd/>
        <w:snapToGrid/>
        <w:spacing w:line="530" w:lineRule="exact"/>
        <w:ind w:left="0" w:leftChars="0"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本单位对上述承诺的内容事项真实性负责。如经查实上述承诺的内容事项存在虚假，我单位愿意接受以提供虚假材料谋取成交追究法律责任。</w:t>
      </w:r>
    </w:p>
    <w:p>
      <w:pPr>
        <w:pStyle w:val="6"/>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pPr>
        <w:keepNext w:val="0"/>
        <w:keepLines w:val="0"/>
        <w:pageBreakBefore w:val="0"/>
        <w:widowControl/>
        <w:kinsoku/>
        <w:wordWrap/>
        <w:overflowPunct/>
        <w:topLinePunct w:val="0"/>
        <w:autoSpaceDE/>
        <w:autoSpaceDN/>
        <w:bidi w:val="0"/>
        <w:adjustRightInd/>
        <w:snapToGrid/>
        <w:spacing w:line="530" w:lineRule="exact"/>
        <w:ind w:left="0" w:leftChars="0" w:firstLine="470" w:firstLineChars="196"/>
        <w:jc w:val="left"/>
        <w:textAlignment w:val="auto"/>
        <w:rPr>
          <w:rFonts w:ascii="宋体" w:hAnsi="宋体" w:eastAsia="宋体"/>
          <w:color w:val="auto"/>
          <w:sz w:val="24"/>
          <w:highlight w:val="none"/>
        </w:rPr>
      </w:pPr>
      <w:r>
        <w:rPr>
          <w:rFonts w:hint="eastAsia" w:ascii="宋体" w:hAnsi="宋体" w:eastAsia="宋体"/>
          <w:color w:val="auto"/>
          <w:sz w:val="24"/>
          <w:highlight w:val="none"/>
        </w:rPr>
        <w:t>日    期：XXXX。</w:t>
      </w:r>
    </w:p>
    <w:p>
      <w:pPr>
        <w:keepNext w:val="0"/>
        <w:keepLines w:val="0"/>
        <w:pageBreakBefore w:val="0"/>
        <w:kinsoku/>
        <w:wordWrap/>
        <w:overflowPunct/>
        <w:topLinePunct w:val="0"/>
        <w:autoSpaceDE/>
        <w:autoSpaceDN/>
        <w:bidi w:val="0"/>
        <w:adjustRightInd/>
        <w:snapToGrid/>
        <w:spacing w:line="530" w:lineRule="exact"/>
        <w:ind w:left="0" w:leftChars="0"/>
        <w:textAlignment w:val="auto"/>
        <w:rPr>
          <w:rFonts w:ascii="宋体" w:hAnsi="宋体" w:eastAsia="宋体"/>
          <w:color w:val="auto"/>
          <w:highlight w:val="none"/>
        </w:rPr>
      </w:pPr>
      <w:r>
        <w:rPr>
          <w:rFonts w:ascii="宋体" w:hAnsi="宋体" w:eastAsia="宋体"/>
          <w:color w:val="auto"/>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28" w:name="_Toc217446088"/>
      <w:r>
        <w:rPr>
          <w:rFonts w:hint="eastAsia" w:ascii="宋体" w:hAnsi="宋体" w:eastAsia="宋体"/>
          <w:color w:val="auto"/>
          <w:sz w:val="32"/>
          <w:highlight w:val="none"/>
        </w:rPr>
        <w:t>四、申请人基本情况表</w:t>
      </w:r>
      <w:bookmarkEnd w:id="28"/>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申请人名称</w:t>
            </w:r>
          </w:p>
        </w:tc>
        <w:tc>
          <w:tcPr>
            <w:tcW w:w="6758" w:type="dxa"/>
            <w:gridSpan w:val="9"/>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注册地址</w:t>
            </w:r>
          </w:p>
        </w:tc>
        <w:tc>
          <w:tcPr>
            <w:tcW w:w="3179" w:type="dxa"/>
            <w:gridSpan w:val="5"/>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2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邮政编码</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联系方式</w:t>
            </w:r>
          </w:p>
        </w:tc>
        <w:tc>
          <w:tcPr>
            <w:tcW w:w="925"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联系人</w:t>
            </w:r>
          </w:p>
        </w:tc>
        <w:tc>
          <w:tcPr>
            <w:tcW w:w="2247"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925"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传真</w:t>
            </w:r>
          </w:p>
        </w:tc>
        <w:tc>
          <w:tcPr>
            <w:tcW w:w="2247"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网址</w:t>
            </w:r>
          </w:p>
        </w:tc>
        <w:tc>
          <w:tcPr>
            <w:tcW w:w="2254"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组织结构</w:t>
            </w:r>
          </w:p>
        </w:tc>
        <w:tc>
          <w:tcPr>
            <w:tcW w:w="6758" w:type="dxa"/>
            <w:gridSpan w:val="9"/>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法定代表人</w:t>
            </w:r>
          </w:p>
        </w:tc>
        <w:tc>
          <w:tcPr>
            <w:tcW w:w="711"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技术负责人</w:t>
            </w:r>
          </w:p>
        </w:tc>
        <w:tc>
          <w:tcPr>
            <w:tcW w:w="711"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206"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技术职称</w:t>
            </w:r>
          </w:p>
        </w:tc>
        <w:tc>
          <w:tcPr>
            <w:tcW w:w="1332"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178" w:type="dxa"/>
            <w:gridSpan w:val="2"/>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电话</w:t>
            </w:r>
          </w:p>
        </w:tc>
        <w:tc>
          <w:tcPr>
            <w:tcW w:w="1076" w:type="dxa"/>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成立时间</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4841" w:type="dxa"/>
            <w:gridSpan w:val="6"/>
            <w:vAlign w:val="center"/>
          </w:tcPr>
          <w:p>
            <w:pPr>
              <w:wordWrap/>
              <w:topLinePunct w:val="0"/>
              <w:autoSpaceDE w:val="0"/>
              <w:autoSpaceDN w:val="0"/>
              <w:bidi w:val="0"/>
              <w:adjustRightInd w:val="0"/>
              <w:ind w:firstLine="1470" w:firstLineChars="700"/>
              <w:textAlignment w:val="auto"/>
              <w:rPr>
                <w:rFonts w:ascii="宋体" w:hAnsi="宋体" w:eastAsia="宋体"/>
                <w:color w:val="auto"/>
                <w:szCs w:val="21"/>
                <w:highlight w:val="none"/>
              </w:rPr>
            </w:pPr>
            <w:r>
              <w:rPr>
                <w:rFonts w:hint="eastAsia" w:ascii="宋体" w:hAnsi="宋体" w:eastAsia="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企业资质等级</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restart"/>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其中</w:t>
            </w: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项目经理</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营业执照号</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高级职称人员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注册资金</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中级职称人员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开户银行</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初级职称人员</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账号</w:t>
            </w:r>
          </w:p>
        </w:tc>
        <w:tc>
          <w:tcPr>
            <w:tcW w:w="1917"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255" w:type="dxa"/>
            <w:vMerge w:val="continue"/>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p>
        </w:tc>
        <w:tc>
          <w:tcPr>
            <w:tcW w:w="1493" w:type="dxa"/>
            <w:gridSpan w:val="3"/>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技工</w:t>
            </w:r>
          </w:p>
        </w:tc>
        <w:tc>
          <w:tcPr>
            <w:tcW w:w="2093" w:type="dxa"/>
            <w:gridSpan w:val="2"/>
            <w:vAlign w:val="center"/>
          </w:tcPr>
          <w:p>
            <w:pPr>
              <w:wordWrap/>
              <w:topLinePunct w:val="0"/>
              <w:autoSpaceDE w:val="0"/>
              <w:autoSpaceDN w:val="0"/>
              <w:bidi w:val="0"/>
              <w:adjustRightInd w:val="0"/>
              <w:jc w:val="center"/>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经营范围</w:t>
            </w:r>
          </w:p>
        </w:tc>
        <w:tc>
          <w:tcPr>
            <w:tcW w:w="6758" w:type="dxa"/>
            <w:gridSpan w:val="9"/>
            <w:vAlign w:val="center"/>
          </w:tcPr>
          <w:p>
            <w:pPr>
              <w:wordWrap/>
              <w:topLinePunct w:val="0"/>
              <w:autoSpaceDE w:val="0"/>
              <w:autoSpaceDN w:val="0"/>
              <w:bidi w:val="0"/>
              <w:adjustRightInd w:val="0"/>
              <w:textAlignment w:val="auto"/>
              <w:rPr>
                <w:rFonts w:ascii="宋体" w:hAnsi="宋体" w:eastAsia="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wordWrap/>
              <w:topLinePunct w:val="0"/>
              <w:autoSpaceDE w:val="0"/>
              <w:autoSpaceDN w:val="0"/>
              <w:bidi w:val="0"/>
              <w:adjustRightInd w:val="0"/>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备注</w:t>
            </w:r>
          </w:p>
        </w:tc>
        <w:tc>
          <w:tcPr>
            <w:tcW w:w="6758" w:type="dxa"/>
            <w:gridSpan w:val="9"/>
            <w:vAlign w:val="center"/>
          </w:tcPr>
          <w:p>
            <w:pPr>
              <w:wordWrap/>
              <w:topLinePunct w:val="0"/>
              <w:autoSpaceDE w:val="0"/>
              <w:autoSpaceDN w:val="0"/>
              <w:bidi w:val="0"/>
              <w:adjustRightInd w:val="0"/>
              <w:jc w:val="left"/>
              <w:textAlignment w:val="auto"/>
              <w:rPr>
                <w:rFonts w:ascii="宋体" w:hAnsi="宋体" w:eastAsia="宋体"/>
                <w:color w:val="auto"/>
                <w:szCs w:val="21"/>
                <w:highlight w:val="none"/>
              </w:rPr>
            </w:pPr>
          </w:p>
        </w:tc>
      </w:tr>
    </w:tbl>
    <w:p>
      <w:pPr>
        <w:wordWrap/>
        <w:topLinePunct w:val="0"/>
        <w:bidi w:val="0"/>
        <w:adjustRightInd w:val="0"/>
        <w:spacing w:line="400" w:lineRule="exact"/>
        <w:ind w:firstLine="420" w:firstLineChars="175"/>
        <w:jc w:val="left"/>
        <w:textAlignment w:val="auto"/>
        <w:rPr>
          <w:rFonts w:ascii="宋体" w:hAnsi="宋体" w:eastAsia="宋体"/>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申请人名称：XXXX（单位公章）</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w:t>
      </w:r>
      <w:r>
        <w:rPr>
          <w:rFonts w:hint="eastAsia" w:ascii="宋体" w:hAnsi="宋体" w:eastAsia="宋体"/>
          <w:color w:val="auto"/>
          <w:sz w:val="24"/>
          <w:szCs w:val="24"/>
          <w:highlight w:val="none"/>
        </w:rPr>
        <w:t>单位负责人</w:t>
      </w:r>
      <w:r>
        <w:rPr>
          <w:rFonts w:hint="eastAsia" w:ascii="宋体" w:hAnsi="宋体" w:eastAsia="宋体"/>
          <w:color w:val="auto"/>
          <w:sz w:val="24"/>
          <w:highlight w:val="none"/>
        </w:rPr>
        <w:t>或授权代表（签字）：</w:t>
      </w:r>
    </w:p>
    <w:p>
      <w:pPr>
        <w:keepNext w:val="0"/>
        <w:keepLines w:val="0"/>
        <w:pageBreakBefore w:val="0"/>
        <w:widowControl w:val="0"/>
        <w:kinsoku/>
        <w:wordWrap/>
        <w:overflowPunct/>
        <w:topLinePunct w:val="0"/>
        <w:autoSpaceDE/>
        <w:autoSpaceDN/>
        <w:bidi w:val="0"/>
        <w:adjustRightInd w:val="0"/>
        <w:snapToGrid/>
        <w:spacing w:line="560" w:lineRule="exact"/>
        <w:ind w:firstLine="420" w:firstLineChars="175"/>
        <w:jc w:val="left"/>
        <w:textAlignment w:val="auto"/>
        <w:rPr>
          <w:rFonts w:ascii="宋体" w:hAnsi="宋体" w:eastAsia="宋体"/>
          <w:b/>
          <w:color w:val="auto"/>
          <w:sz w:val="24"/>
          <w:highlight w:val="none"/>
        </w:rPr>
      </w:pPr>
      <w:r>
        <w:rPr>
          <w:rFonts w:hint="eastAsia" w:ascii="宋体" w:hAnsi="宋体" w:eastAsia="宋体"/>
          <w:color w:val="auto"/>
          <w:sz w:val="24"/>
          <w:highlight w:val="none"/>
        </w:rPr>
        <w:t>日期：</w:t>
      </w:r>
    </w:p>
    <w:p>
      <w:pPr>
        <w:keepNext w:val="0"/>
        <w:keepLines w:val="0"/>
        <w:pageBreakBefore w:val="0"/>
        <w:widowControl w:val="0"/>
        <w:kinsoku/>
        <w:wordWrap/>
        <w:overflowPunct/>
        <w:topLinePunct w:val="0"/>
        <w:autoSpaceDE/>
        <w:autoSpaceDN/>
        <w:bidi w:val="0"/>
        <w:snapToGrid/>
        <w:spacing w:line="560" w:lineRule="exact"/>
        <w:textAlignment w:val="auto"/>
        <w:rPr>
          <w:rFonts w:ascii="宋体" w:hAnsi="宋体" w:eastAsia="宋体"/>
          <w:color w:val="auto"/>
          <w:highlight w:val="none"/>
        </w:rPr>
      </w:pPr>
      <w:r>
        <w:rPr>
          <w:rFonts w:ascii="宋体" w:hAnsi="宋体" w:eastAsia="宋体"/>
          <w:color w:val="auto"/>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bookmarkStart w:id="29" w:name="_Toc217446089"/>
      <w:r>
        <w:rPr>
          <w:rFonts w:hint="eastAsia" w:ascii="宋体" w:hAnsi="宋体" w:eastAsia="宋体"/>
          <w:color w:val="auto"/>
          <w:sz w:val="32"/>
          <w:highlight w:val="none"/>
        </w:rPr>
        <w:t>五、申请人类似项目业绩一览表</w:t>
      </w:r>
      <w:bookmarkEnd w:id="29"/>
    </w:p>
    <w:p>
      <w:pPr>
        <w:wordWrap/>
        <w:topLinePunct w:val="0"/>
        <w:bidi w:val="0"/>
        <w:spacing w:line="400" w:lineRule="exact"/>
        <w:textAlignment w:val="auto"/>
        <w:rPr>
          <w:rFonts w:ascii="宋体" w:hAnsi="宋体" w:eastAsia="宋体" w:cs="Arial"/>
          <w:color w:val="auto"/>
          <w:sz w:val="24"/>
          <w:highlight w:val="none"/>
        </w:rPr>
      </w:pP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年份</w:t>
            </w:r>
          </w:p>
        </w:tc>
        <w:tc>
          <w:tcPr>
            <w:tcW w:w="1681"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用户名称</w:t>
            </w:r>
          </w:p>
        </w:tc>
        <w:tc>
          <w:tcPr>
            <w:tcW w:w="1541"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项目名称</w:t>
            </w:r>
          </w:p>
        </w:tc>
        <w:tc>
          <w:tcPr>
            <w:tcW w:w="1519" w:type="dxa"/>
            <w:vAlign w:val="center"/>
          </w:tcPr>
          <w:p>
            <w:pPr>
              <w:wordWrap/>
              <w:topLinePunct w:val="0"/>
              <w:bidi w:val="0"/>
              <w:spacing w:line="400" w:lineRule="exact"/>
              <w:ind w:left="1" w:leftChars="-28" w:hanging="60" w:hangingChars="27"/>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完成时间</w:t>
            </w:r>
          </w:p>
        </w:tc>
        <w:tc>
          <w:tcPr>
            <w:tcW w:w="1559" w:type="dxa"/>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ascii="宋体" w:hAnsi="宋体" w:eastAsia="宋体" w:cs="Arial"/>
                <w:b/>
                <w:color w:val="auto"/>
                <w:sz w:val="22"/>
                <w:highlight w:val="none"/>
              </w:rPr>
              <w:t>合同金额</w:t>
            </w: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b/>
                <w:color w:val="auto"/>
                <w:sz w:val="22"/>
                <w:highlight w:val="none"/>
              </w:rPr>
            </w:pPr>
            <w:r>
              <w:rPr>
                <w:rFonts w:hint="eastAsia" w:ascii="宋体" w:hAnsi="宋体" w:eastAsia="宋体" w:cs="Arial"/>
                <w:b/>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681" w:type="dxa"/>
            <w:tcBorders>
              <w:righ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41"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1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559" w:type="dxa"/>
            <w:vAlign w:val="center"/>
          </w:tcPr>
          <w:p>
            <w:pPr>
              <w:wordWrap/>
              <w:topLinePunct w:val="0"/>
              <w:bidi w:val="0"/>
              <w:spacing w:line="400" w:lineRule="exact"/>
              <w:jc w:val="center"/>
              <w:textAlignment w:val="auto"/>
              <w:rPr>
                <w:rFonts w:ascii="宋体" w:hAnsi="宋体" w:eastAsia="宋体" w:cs="Arial"/>
                <w:color w:val="auto"/>
                <w:highlight w:val="none"/>
              </w:rPr>
            </w:pPr>
          </w:p>
        </w:tc>
        <w:tc>
          <w:tcPr>
            <w:tcW w:w="1272" w:type="dxa"/>
            <w:tcBorders>
              <w:left w:val="single" w:color="auto" w:sz="4" w:space="0"/>
            </w:tcBorders>
            <w:vAlign w:val="center"/>
          </w:tcPr>
          <w:p>
            <w:pPr>
              <w:wordWrap/>
              <w:topLinePunct w:val="0"/>
              <w:bidi w:val="0"/>
              <w:spacing w:line="400" w:lineRule="exact"/>
              <w:jc w:val="center"/>
              <w:textAlignment w:val="auto"/>
              <w:rPr>
                <w:rFonts w:ascii="宋体" w:hAnsi="宋体" w:eastAsia="宋体" w:cs="Arial"/>
                <w:color w:val="auto"/>
                <w:highlight w:val="none"/>
              </w:rPr>
            </w:pPr>
          </w:p>
        </w:tc>
      </w:tr>
    </w:tbl>
    <w:p>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六、技术参数要求响应情况表</w:t>
      </w:r>
    </w:p>
    <w:p>
      <w:pPr>
        <w:wordWrap/>
        <w:topLinePunct w:val="0"/>
        <w:bidi w:val="0"/>
        <w:textAlignment w:val="auto"/>
        <w:rPr>
          <w:rFonts w:ascii="宋体" w:hAnsi="宋体" w:eastAsia="宋体"/>
          <w:color w:val="auto"/>
          <w:highlight w:val="none"/>
        </w:rPr>
      </w:pPr>
    </w:p>
    <w:tbl>
      <w:tblPr>
        <w:tblStyle w:val="21"/>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2982"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318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515" w:type="dxa"/>
            <w:vAlign w:val="center"/>
          </w:tcPr>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982"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18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515"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bl>
    <w:p>
      <w:pPr>
        <w:wordWrap/>
        <w:topLinePunct w:val="0"/>
        <w:bidi w:val="0"/>
        <w:ind w:firstLine="482" w:firstLineChars="200"/>
        <w:textAlignment w:val="auto"/>
        <w:rPr>
          <w:rFonts w:ascii="宋体" w:hAnsi="宋体" w:eastAsia="宋体"/>
          <w:b/>
          <w:color w:val="auto"/>
          <w:sz w:val="24"/>
          <w:highlight w:val="none"/>
        </w:rPr>
      </w:pPr>
    </w:p>
    <w:p>
      <w:pPr>
        <w:wordWrap/>
        <w:topLinePunct w:val="0"/>
        <w:bidi w:val="0"/>
        <w:spacing w:line="52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注：申请人按照比选文件“第四章”“技术参数要求”的全部逐项梳理填写本表。</w:t>
      </w:r>
    </w:p>
    <w:p>
      <w:pPr>
        <w:wordWrap/>
        <w:topLinePunct w:val="0"/>
        <w:bidi w:val="0"/>
        <w:adjustRightInd w:val="0"/>
        <w:spacing w:line="400" w:lineRule="exact"/>
        <w:ind w:firstLine="480" w:firstLineChars="200"/>
        <w:jc w:val="left"/>
        <w:textAlignment w:val="auto"/>
        <w:rPr>
          <w:rFonts w:ascii="宋体" w:hAnsi="宋体" w:eastAsia="宋体"/>
          <w:color w:val="auto"/>
          <w:sz w:val="24"/>
          <w:highlight w:val="none"/>
        </w:rPr>
      </w:pP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申请人名称：XXX（盖单位公章）</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日期：XXX年XXX月XXX日</w:t>
      </w:r>
    </w:p>
    <w:p>
      <w:pPr>
        <w:wordWrap/>
        <w:topLinePunct w:val="0"/>
        <w:bidi w:val="0"/>
        <w:adjustRightInd w:val="0"/>
        <w:spacing w:line="560" w:lineRule="exact"/>
        <w:ind w:firstLine="480" w:firstLineChars="2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七、商务应答表</w:t>
      </w:r>
    </w:p>
    <w:tbl>
      <w:tblPr>
        <w:tblStyle w:val="21"/>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序号</w:t>
            </w:r>
          </w:p>
        </w:tc>
        <w:tc>
          <w:tcPr>
            <w:tcW w:w="3689"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比选文件要求</w:t>
            </w:r>
          </w:p>
        </w:tc>
        <w:tc>
          <w:tcPr>
            <w:tcW w:w="2263" w:type="dxa"/>
            <w:vAlign w:val="center"/>
          </w:tcPr>
          <w:p>
            <w:pPr>
              <w:wordWrap/>
              <w:topLinePunct w:val="0"/>
              <w:bidi w:val="0"/>
              <w:jc w:val="center"/>
              <w:textAlignment w:val="auto"/>
              <w:rPr>
                <w:rFonts w:ascii="宋体" w:hAnsi="宋体" w:eastAsia="宋体" w:cs="仿宋"/>
                <w:b/>
                <w:bCs/>
                <w:color w:val="auto"/>
                <w:szCs w:val="21"/>
                <w:highlight w:val="none"/>
              </w:rPr>
            </w:pPr>
            <w:r>
              <w:rPr>
                <w:rFonts w:hint="eastAsia" w:ascii="宋体" w:hAnsi="宋体" w:eastAsia="宋体" w:cs="仿宋"/>
                <w:b/>
                <w:bCs/>
                <w:color w:val="auto"/>
                <w:sz w:val="22"/>
                <w:highlight w:val="none"/>
              </w:rPr>
              <w:t>响应内容</w:t>
            </w:r>
          </w:p>
        </w:tc>
        <w:tc>
          <w:tcPr>
            <w:tcW w:w="2263" w:type="dxa"/>
            <w:vAlign w:val="center"/>
          </w:tcPr>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差异说明</w:t>
            </w:r>
          </w:p>
          <w:p>
            <w:pPr>
              <w:wordWrap/>
              <w:topLinePunct w:val="0"/>
              <w:bidi w:val="0"/>
              <w:jc w:val="center"/>
              <w:textAlignment w:val="auto"/>
              <w:rPr>
                <w:rFonts w:ascii="宋体" w:hAnsi="宋体" w:eastAsia="宋体" w:cs="仿宋"/>
                <w:b/>
                <w:bCs/>
                <w:color w:val="auto"/>
                <w:sz w:val="22"/>
                <w:highlight w:val="none"/>
              </w:rPr>
            </w:pPr>
            <w:r>
              <w:rPr>
                <w:rFonts w:hint="eastAsia" w:ascii="宋体" w:hAnsi="宋体" w:eastAsia="宋体" w:cs="仿宋"/>
                <w:b/>
                <w:bCs/>
                <w:color w:val="auto"/>
                <w:sz w:val="22"/>
                <w:highlight w:val="none"/>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spacing w:line="360" w:lineRule="auto"/>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3689"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c>
          <w:tcPr>
            <w:tcW w:w="2263" w:type="dxa"/>
            <w:vAlign w:val="center"/>
          </w:tcPr>
          <w:p>
            <w:pPr>
              <w:pStyle w:val="41"/>
              <w:wordWrap/>
              <w:topLinePunct w:val="0"/>
              <w:bidi w:val="0"/>
              <w:jc w:val="center"/>
              <w:textAlignment w:val="auto"/>
              <w:rPr>
                <w:rFonts w:ascii="宋体" w:hAnsi="宋体" w:eastAsia="宋体" w:cs="仿宋"/>
                <w:color w:val="auto"/>
                <w:sz w:val="21"/>
                <w:szCs w:val="21"/>
                <w:highlight w:val="none"/>
              </w:rPr>
            </w:pPr>
          </w:p>
        </w:tc>
      </w:tr>
    </w:tbl>
    <w:p>
      <w:pPr>
        <w:wordWrap/>
        <w:topLinePunct w:val="0"/>
        <w:bidi w:val="0"/>
        <w:spacing w:line="560" w:lineRule="exact"/>
        <w:ind w:firstLine="482" w:firstLineChars="200"/>
        <w:textAlignment w:val="auto"/>
        <w:rPr>
          <w:rFonts w:ascii="宋体" w:hAnsi="宋体" w:eastAsia="宋体"/>
          <w:b/>
          <w:bCs/>
          <w:color w:val="auto"/>
          <w:sz w:val="24"/>
          <w:highlight w:val="none"/>
        </w:rPr>
      </w:pPr>
      <w:r>
        <w:rPr>
          <w:rFonts w:hint="eastAsia" w:ascii="宋体" w:hAnsi="宋体" w:eastAsia="宋体"/>
          <w:b/>
          <w:bCs/>
          <w:color w:val="auto"/>
          <w:sz w:val="24"/>
          <w:highlight w:val="none"/>
        </w:rPr>
        <w:t>注：申请人按照比选文件“第四章”“商务要求”的全部逐项梳理填写本表。</w:t>
      </w:r>
    </w:p>
    <w:p>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p>
    <w:p>
      <w:pPr>
        <w:wordWrap/>
        <w:topLinePunct w:val="0"/>
        <w:bidi w:val="0"/>
        <w:adjustRightInd w:val="0"/>
        <w:spacing w:line="560" w:lineRule="exact"/>
        <w:ind w:firstLine="480" w:firstLineChars="200"/>
        <w:jc w:val="left"/>
        <w:textAlignment w:val="auto"/>
        <w:rPr>
          <w:rFonts w:ascii="宋体" w:hAnsi="宋体" w:eastAsia="宋体"/>
          <w:color w:val="auto"/>
          <w:sz w:val="24"/>
          <w:highlight w:val="none"/>
        </w:rPr>
      </w:pPr>
      <w:r>
        <w:rPr>
          <w:rFonts w:hint="eastAsia" w:ascii="宋体" w:hAnsi="宋体" w:eastAsia="宋体"/>
          <w:color w:val="auto"/>
          <w:sz w:val="24"/>
          <w:highlight w:val="none"/>
        </w:rPr>
        <w:t>申请人名称：XXX（盖单位公章）</w:t>
      </w:r>
    </w:p>
    <w:p>
      <w:pPr>
        <w:wordWrap/>
        <w:topLinePunct w:val="0"/>
        <w:bidi w:val="0"/>
        <w:adjustRightInd w:val="0"/>
        <w:spacing w:line="560" w:lineRule="exact"/>
        <w:ind w:firstLine="480" w:firstLineChars="200"/>
        <w:jc w:val="left"/>
        <w:textAlignment w:val="auto"/>
        <w:rPr>
          <w:rFonts w:ascii="宋体" w:hAnsi="宋体" w:eastAsia="宋体"/>
          <w:bCs/>
          <w:color w:val="auto"/>
          <w:sz w:val="24"/>
          <w:highlight w:val="none"/>
        </w:rPr>
      </w:pPr>
      <w:r>
        <w:rPr>
          <w:rFonts w:hint="eastAsia" w:ascii="宋体" w:hAnsi="宋体" w:eastAsia="宋体"/>
          <w:bCs/>
          <w:color w:val="auto"/>
          <w:sz w:val="24"/>
          <w:highlight w:val="none"/>
        </w:rPr>
        <w:t>法定代表人/单位负责人或授权代表</w:t>
      </w:r>
      <w:r>
        <w:rPr>
          <w:rFonts w:hint="eastAsia" w:ascii="宋体" w:hAnsi="宋体" w:eastAsia="宋体"/>
          <w:color w:val="auto"/>
          <w:sz w:val="24"/>
          <w:highlight w:val="none"/>
        </w:rPr>
        <w:t>（签字或加盖个人印章）</w:t>
      </w:r>
      <w:r>
        <w:rPr>
          <w:rFonts w:hint="eastAsia" w:ascii="宋体" w:hAnsi="宋体" w:eastAsia="宋体"/>
          <w:bCs/>
          <w:color w:val="auto"/>
          <w:sz w:val="24"/>
          <w:highlight w:val="none"/>
        </w:rPr>
        <w:t>：XXX</w:t>
      </w:r>
    </w:p>
    <w:p>
      <w:pPr>
        <w:wordWrap/>
        <w:topLinePunct w:val="0"/>
        <w:bidi w:val="0"/>
        <w:spacing w:line="560" w:lineRule="exact"/>
        <w:ind w:firstLine="480" w:firstLineChars="200"/>
        <w:textAlignment w:val="auto"/>
        <w:rPr>
          <w:rFonts w:ascii="宋体" w:hAnsi="宋体" w:eastAsia="宋体"/>
          <w:bCs/>
          <w:color w:val="auto"/>
          <w:sz w:val="24"/>
          <w:highlight w:val="none"/>
        </w:rPr>
      </w:pPr>
      <w:r>
        <w:rPr>
          <w:rFonts w:hint="eastAsia" w:ascii="宋体" w:hAnsi="宋体" w:eastAsia="宋体"/>
          <w:bCs/>
          <w:color w:val="auto"/>
          <w:sz w:val="24"/>
          <w:highlight w:val="none"/>
        </w:rPr>
        <w:t>日期：XXX年XXX月XXX日</w:t>
      </w:r>
    </w:p>
    <w:p>
      <w:pPr>
        <w:wordWrap/>
        <w:topLinePunct w:val="0"/>
        <w:bidi w:val="0"/>
        <w:spacing w:line="560" w:lineRule="exact"/>
        <w:ind w:firstLine="200"/>
        <w:textAlignment w:val="auto"/>
        <w:rPr>
          <w:rFonts w:ascii="宋体" w:hAnsi="宋体" w:eastAsia="宋体"/>
          <w:bCs/>
          <w:color w:val="auto"/>
          <w:sz w:val="24"/>
          <w:highlight w:val="none"/>
        </w:rPr>
      </w:pPr>
      <w:r>
        <w:rPr>
          <w:rFonts w:hint="eastAsia" w:ascii="宋体" w:hAnsi="宋体" w:eastAsia="宋体"/>
          <w:bCs/>
          <w:color w:val="auto"/>
          <w:sz w:val="24"/>
          <w:highlight w:val="none"/>
        </w:rPr>
        <w:br w:type="page"/>
      </w:r>
    </w:p>
    <w:p>
      <w:pPr>
        <w:pStyle w:val="4"/>
        <w:wordWrap/>
        <w:topLinePunct w:val="0"/>
        <w:bidi w:val="0"/>
        <w:spacing w:before="0" w:after="0" w:line="400" w:lineRule="exact"/>
        <w:jc w:val="center"/>
        <w:textAlignment w:val="auto"/>
        <w:rPr>
          <w:rFonts w:ascii="宋体" w:hAnsi="宋体" w:eastAsia="宋体"/>
          <w:color w:val="auto"/>
          <w:sz w:val="32"/>
          <w:highlight w:val="none"/>
        </w:rPr>
      </w:pPr>
      <w:r>
        <w:rPr>
          <w:rFonts w:hint="eastAsia" w:ascii="宋体" w:hAnsi="宋体" w:eastAsia="宋体"/>
          <w:color w:val="auto"/>
          <w:sz w:val="32"/>
          <w:highlight w:val="none"/>
        </w:rPr>
        <w:t xml:space="preserve">八、报价一览表 </w:t>
      </w:r>
    </w:p>
    <w:p>
      <w:pPr>
        <w:wordWrap/>
        <w:topLinePunct w:val="0"/>
        <w:bidi w:val="0"/>
        <w:textAlignment w:val="auto"/>
        <w:rPr>
          <w:rFonts w:ascii="宋体" w:hAnsi="宋体" w:eastAsia="宋体" w:cs="仿宋"/>
          <w:color w:val="auto"/>
          <w:sz w:val="24"/>
          <w:szCs w:val="24"/>
          <w:highlight w:val="none"/>
        </w:rPr>
      </w:pPr>
    </w:p>
    <w:p>
      <w:pPr>
        <w:wordWrap/>
        <w:topLinePunct w:val="0"/>
        <w:bidi w:val="0"/>
        <w:textAlignment w:val="auto"/>
        <w:rPr>
          <w:rFonts w:ascii="宋体" w:hAnsi="宋体" w:eastAsia="宋体"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项目名称：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项目编号：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包号：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4"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项目名称</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投标</w:t>
            </w:r>
            <w:r>
              <w:rPr>
                <w:rFonts w:hint="eastAsia" w:ascii="宋体" w:hAnsi="宋体" w:eastAsia="宋体" w:cs="仿宋"/>
                <w:color w:val="auto"/>
                <w:sz w:val="24"/>
                <w:szCs w:val="24"/>
                <w:highlight w:val="none"/>
                <w:lang w:val="en-US" w:eastAsia="zh-CN"/>
              </w:rPr>
              <w:t>报</w:t>
            </w:r>
            <w:r>
              <w:rPr>
                <w:rFonts w:hint="eastAsia" w:ascii="宋体" w:hAnsi="宋体" w:eastAsia="宋体" w:cs="仿宋"/>
                <w:color w:val="auto"/>
                <w:sz w:val="24"/>
                <w:szCs w:val="24"/>
                <w:highlight w:val="none"/>
              </w:rPr>
              <w:t>价</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lang w:val="en-US" w:eastAsia="zh-CN"/>
              </w:rPr>
              <w:t>服务</w:t>
            </w:r>
            <w:r>
              <w:rPr>
                <w:rFonts w:hint="eastAsia" w:ascii="宋体" w:hAnsi="宋体" w:eastAsia="宋体" w:cs="仿宋"/>
                <w:color w:val="auto"/>
                <w:sz w:val="24"/>
                <w:szCs w:val="24"/>
                <w:highlight w:val="none"/>
              </w:rPr>
              <w:t>周期</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wordWrap/>
              <w:topLinePunct w:val="0"/>
              <w:bidi w:val="0"/>
              <w:textAlignment w:val="auto"/>
              <w:rPr>
                <w:rFonts w:hint="eastAsia" w:ascii="宋体" w:hAnsi="宋体" w:eastAsia="宋体" w:cs="仿宋"/>
                <w:color w:val="auto"/>
                <w:sz w:val="24"/>
                <w:szCs w:val="24"/>
                <w:highlight w:val="none"/>
              </w:rPr>
            </w:pPr>
            <w:r>
              <w:rPr>
                <w:rFonts w:hint="eastAsia" w:ascii="宋体" w:hAnsi="宋体" w:eastAsia="宋体" w:cs="仿宋"/>
                <w:color w:val="auto"/>
                <w:sz w:val="24"/>
                <w:szCs w:val="24"/>
                <w:highlight w:val="none"/>
              </w:rPr>
              <w:t>备    注</w:t>
            </w:r>
          </w:p>
        </w:tc>
        <w:tc>
          <w:tcPr>
            <w:tcW w:w="6840" w:type="dxa"/>
            <w:vAlign w:val="center"/>
          </w:tcPr>
          <w:p>
            <w:pPr>
              <w:wordWrap/>
              <w:topLinePunct w:val="0"/>
              <w:bidi w:val="0"/>
              <w:textAlignment w:val="auto"/>
              <w:rPr>
                <w:rFonts w:hint="eastAsia" w:ascii="宋体" w:hAnsi="宋体" w:eastAsia="宋体" w:cs="仿宋"/>
                <w:color w:val="auto"/>
                <w:sz w:val="24"/>
                <w:szCs w:val="24"/>
                <w:highlight w:val="none"/>
              </w:rPr>
            </w:pPr>
          </w:p>
        </w:tc>
      </w:tr>
    </w:tbl>
    <w:p>
      <w:pPr>
        <w:wordWrap/>
        <w:topLinePunct w:val="0"/>
        <w:bidi w:val="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pStyle w:val="20"/>
        <w:wordWrap/>
        <w:topLinePunct w:val="0"/>
        <w:bidi w:val="0"/>
        <w:spacing w:after="0"/>
        <w:textAlignment w:val="auto"/>
        <w:rPr>
          <w:rFonts w:ascii="宋体" w:hAnsi="宋体" w:eastAsia="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宋体" w:hAnsi="宋体" w:eastAsia="宋体" w:cs="华文仿宋"/>
          <w:color w:val="auto"/>
          <w:sz w:val="24"/>
          <w:highlight w:val="none"/>
        </w:rPr>
      </w:pPr>
      <w:r>
        <w:rPr>
          <w:rFonts w:hint="eastAsia" w:ascii="宋体" w:hAnsi="宋体" w:eastAsia="宋体" w:cs="华文仿宋"/>
          <w:color w:val="auto"/>
          <w:sz w:val="24"/>
          <w:highlight w:val="none"/>
        </w:rPr>
        <w:t>申请人名称</w:t>
      </w:r>
      <w:r>
        <w:rPr>
          <w:rFonts w:hint="eastAsia" w:ascii="宋体" w:hAnsi="宋体" w:eastAsia="宋体" w:cs="华文仿宋"/>
          <w:color w:val="auto"/>
          <w:kern w:val="0"/>
          <w:sz w:val="24"/>
          <w:highlight w:val="none"/>
        </w:rPr>
        <w:t>（加盖公章）</w:t>
      </w:r>
      <w:r>
        <w:rPr>
          <w:rFonts w:hint="eastAsia" w:ascii="宋体" w:hAnsi="宋体" w:eastAsia="宋体" w:cs="华文仿宋"/>
          <w:color w:val="auto"/>
          <w:sz w:val="24"/>
          <w:highlight w:val="none"/>
        </w:rPr>
        <w:t>：</w:t>
      </w:r>
    </w:p>
    <w:p>
      <w:pPr>
        <w:keepNext w:val="0"/>
        <w:keepLines w:val="0"/>
        <w:pageBreakBefore w:val="0"/>
        <w:widowControl w:val="0"/>
        <w:kinsoku/>
        <w:wordWrap/>
        <w:overflowPunct/>
        <w:topLinePunct w:val="0"/>
        <w:autoSpaceDE/>
        <w:autoSpaceDN/>
        <w:bidi w:val="0"/>
        <w:spacing w:line="560" w:lineRule="exact"/>
        <w:jc w:val="left"/>
        <w:textAlignment w:val="auto"/>
        <w:rPr>
          <w:rFonts w:ascii="宋体" w:hAnsi="宋体" w:eastAsia="宋体"/>
          <w:color w:val="auto"/>
          <w:sz w:val="24"/>
          <w:highlight w:val="none"/>
        </w:rPr>
      </w:pPr>
      <w:r>
        <w:rPr>
          <w:rFonts w:hint="eastAsia" w:ascii="宋体" w:hAnsi="宋体" w:eastAsia="宋体"/>
          <w:color w:val="auto"/>
          <w:sz w:val="24"/>
          <w:highlight w:val="none"/>
        </w:rPr>
        <w:t>法定代表人/单位负责人或授权代表（签字或加盖个人印章）：XXXX</w:t>
      </w:r>
    </w:p>
    <w:p>
      <w:pPr>
        <w:pStyle w:val="9"/>
        <w:keepNext w:val="0"/>
        <w:keepLines w:val="0"/>
        <w:pageBreakBefore w:val="0"/>
        <w:widowControl w:val="0"/>
        <w:kinsoku/>
        <w:wordWrap/>
        <w:overflowPunct/>
        <w:topLinePunct w:val="0"/>
        <w:autoSpaceDE/>
        <w:autoSpaceDN/>
        <w:bidi w:val="0"/>
        <w:spacing w:after="0" w:line="560" w:lineRule="exact"/>
        <w:textAlignment w:val="auto"/>
        <w:rPr>
          <w:rFonts w:ascii="宋体" w:hAnsi="宋体" w:eastAsia="宋体"/>
          <w:color w:val="auto"/>
          <w:sz w:val="24"/>
          <w:highlight w:val="none"/>
        </w:rPr>
      </w:pPr>
      <w:r>
        <w:rPr>
          <w:rFonts w:hint="eastAsia" w:ascii="宋体" w:hAnsi="宋体" w:eastAsia="宋体"/>
          <w:color w:val="auto"/>
          <w:sz w:val="24"/>
          <w:highlight w:val="none"/>
        </w:rPr>
        <w:t>日期：XXXX</w:t>
      </w:r>
    </w:p>
    <w:p>
      <w:pPr>
        <w:wordWrap/>
        <w:topLinePunct w:val="0"/>
        <w:bidi w:val="0"/>
        <w:textAlignment w:val="auto"/>
        <w:rPr>
          <w:rFonts w:ascii="宋体" w:hAnsi="宋体" w:eastAsia="宋体"/>
          <w:color w:val="auto"/>
          <w:sz w:val="24"/>
          <w:highlight w:val="none"/>
        </w:rPr>
      </w:pPr>
      <w:r>
        <w:rPr>
          <w:rFonts w:hint="eastAsia" w:ascii="宋体" w:hAnsi="宋体" w:eastAsia="宋体"/>
          <w:color w:val="auto"/>
          <w:sz w:val="24"/>
          <w:highlight w:val="none"/>
        </w:rPr>
        <w:br w:type="page"/>
      </w:r>
    </w:p>
    <w:p>
      <w:pPr>
        <w:pStyle w:val="4"/>
        <w:pageBreakBefore/>
        <w:wordWrap/>
        <w:topLinePunct w:val="0"/>
        <w:bidi w:val="0"/>
        <w:spacing w:before="0" w:after="0" w:line="400" w:lineRule="exact"/>
        <w:jc w:val="center"/>
        <w:textAlignment w:val="auto"/>
        <w:rPr>
          <w:rFonts w:ascii="宋体" w:hAnsi="宋体" w:eastAsia="宋体"/>
          <w:bCs w:val="0"/>
          <w:color w:val="auto"/>
          <w:szCs w:val="28"/>
          <w:highlight w:val="none"/>
        </w:rPr>
      </w:pPr>
      <w:r>
        <w:rPr>
          <w:rFonts w:hint="eastAsia" w:ascii="宋体" w:hAnsi="宋体" w:eastAsia="宋体"/>
          <w:bCs w:val="0"/>
          <w:color w:val="auto"/>
          <w:szCs w:val="28"/>
          <w:highlight w:val="none"/>
        </w:rPr>
        <w:t>九、申请人其他需要补充的资料</w:t>
      </w:r>
    </w:p>
    <w:p>
      <w:pPr>
        <w:wordWrap/>
        <w:topLinePunct w:val="0"/>
        <w:bidi w:val="0"/>
        <w:ind w:firstLine="562" w:firstLineChars="200"/>
        <w:textAlignment w:val="auto"/>
        <w:rPr>
          <w:rFonts w:ascii="宋体" w:hAnsi="宋体" w:eastAsia="宋体"/>
          <w:b/>
          <w:color w:val="auto"/>
          <w:sz w:val="28"/>
          <w:szCs w:val="28"/>
          <w:highlight w:val="none"/>
        </w:rPr>
      </w:pPr>
    </w:p>
    <w:p>
      <w:pPr>
        <w:wordWrap/>
        <w:topLinePunct w:val="0"/>
        <w:bidi w:val="0"/>
        <w:ind w:firstLine="560" w:firstLineChars="200"/>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针对比选文件的要求，申请人认为需要提供的其它资料。例如特殊资格条件证明材料等等</w:t>
      </w:r>
    </w:p>
    <w:p>
      <w:pPr>
        <w:wordWrap/>
        <w:topLinePunct w:val="0"/>
        <w:bidi w:val="0"/>
        <w:jc w:val="center"/>
        <w:textAlignment w:val="auto"/>
        <w:rPr>
          <w:rFonts w:ascii="宋体" w:hAnsi="宋体" w:eastAsia="宋体"/>
          <w:b w:val="0"/>
          <w:bCs/>
          <w:color w:val="auto"/>
          <w:sz w:val="28"/>
          <w:szCs w:val="28"/>
          <w:highlight w:val="none"/>
        </w:rPr>
      </w:pPr>
    </w:p>
    <w:p>
      <w:pPr>
        <w:wordWrap/>
        <w:topLinePunct w:val="0"/>
        <w:bidi w:val="0"/>
        <w:jc w:val="center"/>
        <w:textAlignment w:val="auto"/>
        <w:rPr>
          <w:rFonts w:ascii="宋体" w:hAnsi="宋体" w:eastAsia="宋体"/>
          <w:b w:val="0"/>
          <w:bCs/>
          <w:color w:val="auto"/>
          <w:sz w:val="28"/>
          <w:szCs w:val="28"/>
          <w:highlight w:val="none"/>
        </w:rPr>
      </w:pPr>
      <w:r>
        <w:rPr>
          <w:rFonts w:hint="eastAsia" w:ascii="宋体" w:hAnsi="宋体" w:eastAsia="宋体"/>
          <w:b w:val="0"/>
          <w:bCs/>
          <w:color w:val="auto"/>
          <w:sz w:val="28"/>
          <w:szCs w:val="28"/>
          <w:highlight w:val="none"/>
        </w:rPr>
        <w:t>（格式自拟）</w:t>
      </w:r>
    </w:p>
    <w:p>
      <w:pPr>
        <w:wordWrap/>
        <w:topLinePunct w:val="0"/>
        <w:bidi w:val="0"/>
        <w:textAlignment w:val="auto"/>
        <w:rPr>
          <w:rFonts w:ascii="宋体" w:hAnsi="宋体" w:eastAsia="宋体"/>
          <w:color w:val="auto"/>
          <w:highlight w:val="none"/>
        </w:rPr>
      </w:pPr>
      <w:r>
        <w:rPr>
          <w:rFonts w:ascii="宋体" w:hAnsi="宋体" w:eastAsia="宋体"/>
          <w:color w:val="auto"/>
          <w:highlight w:val="none"/>
        </w:rPr>
        <w:br w:type="page"/>
      </w:r>
    </w:p>
    <w:p>
      <w:pPr>
        <w:pStyle w:val="3"/>
        <w:numPr>
          <w:ilvl w:val="0"/>
          <w:numId w:val="6"/>
        </w:numPr>
        <w:wordWrap/>
        <w:topLinePunct w:val="0"/>
        <w:bidi w:val="0"/>
        <w:spacing w:before="0" w:after="0" w:line="240" w:lineRule="auto"/>
        <w:jc w:val="center"/>
        <w:textAlignment w:val="auto"/>
        <w:rPr>
          <w:rFonts w:ascii="宋体" w:hAnsi="宋体" w:eastAsia="宋体"/>
          <w:color w:val="auto"/>
          <w:sz w:val="36"/>
          <w:szCs w:val="36"/>
          <w:highlight w:val="none"/>
        </w:rPr>
      </w:pPr>
      <w:bookmarkStart w:id="30" w:name="_Toc13707"/>
      <w:bookmarkStart w:id="31" w:name="_Toc31585"/>
      <w:bookmarkStart w:id="32" w:name="_Toc26179"/>
      <w:r>
        <w:rPr>
          <w:rFonts w:hint="eastAsia" w:ascii="宋体" w:hAnsi="宋体" w:eastAsia="宋体"/>
          <w:color w:val="auto"/>
          <w:sz w:val="36"/>
          <w:szCs w:val="36"/>
          <w:highlight w:val="none"/>
        </w:rPr>
        <w:t>采购合同条款（草案）</w:t>
      </w:r>
      <w:bookmarkEnd w:id="30"/>
      <w:bookmarkEnd w:id="31"/>
      <w:bookmarkEnd w:id="32"/>
    </w:p>
    <w:p>
      <w:pPr>
        <w:wordWrap/>
        <w:topLinePunct w:val="0"/>
        <w:bidi w:val="0"/>
        <w:textAlignment w:val="auto"/>
        <w:rPr>
          <w:rFonts w:ascii="宋体" w:hAnsi="宋体" w:eastAsia="宋体" w:cs="仿宋"/>
          <w:color w:val="auto"/>
          <w:sz w:val="24"/>
          <w:szCs w:val="24"/>
          <w:highlight w:val="none"/>
        </w:rPr>
      </w:pPr>
    </w:p>
    <w:p>
      <w:pPr>
        <w:wordWrap/>
        <w:topLinePunct w:val="0"/>
        <w:bidi w:val="0"/>
        <w:textAlignment w:val="auto"/>
        <w:rPr>
          <w:rFonts w:hint="eastAsia" w:ascii="宋体" w:hAnsi="宋体" w:eastAsia="宋体"/>
          <w:color w:val="auto"/>
          <w:sz w:val="36"/>
          <w:szCs w:val="36"/>
          <w:highlight w:val="none"/>
        </w:rPr>
      </w:pPr>
    </w:p>
    <w:p>
      <w:pPr>
        <w:wordWrap/>
        <w:topLinePunct w:val="0"/>
        <w:bidi w:val="0"/>
        <w:jc w:val="center"/>
        <w:textAlignment w:val="auto"/>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四川铁道职业学院</w:t>
      </w:r>
    </w:p>
    <w:p>
      <w:pPr>
        <w:wordWrap/>
        <w:topLinePunct w:val="0"/>
        <w:bidi w:val="0"/>
        <w:jc w:val="center"/>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2024年修缮项目监理服务合同</w:t>
      </w: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both"/>
        <w:textAlignment w:val="auto"/>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 xml:space="preserve"> </w:t>
      </w: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center"/>
        <w:textAlignment w:val="auto"/>
        <w:rPr>
          <w:rFonts w:hint="eastAsia" w:ascii="宋体" w:hAnsi="宋体" w:eastAsia="宋体" w:cs="宋体"/>
          <w:b/>
          <w:bCs/>
          <w:color w:val="auto"/>
          <w:sz w:val="52"/>
          <w:szCs w:val="52"/>
          <w:highlight w:val="none"/>
        </w:rPr>
      </w:pPr>
    </w:p>
    <w:p>
      <w:pPr>
        <w:wordWrap/>
        <w:topLinePunct w:val="0"/>
        <w:bidi w:val="0"/>
        <w:jc w:val="center"/>
        <w:textAlignment w:val="auto"/>
        <w:rPr>
          <w:rFonts w:hint="eastAsia" w:ascii="宋体" w:hAnsi="宋体" w:eastAsia="宋体" w:cs="宋体"/>
          <w:b/>
          <w:bCs/>
          <w:color w:val="auto"/>
          <w:sz w:val="30"/>
          <w:szCs w:val="30"/>
          <w:highlight w:val="none"/>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采购编号：</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w:t>
      </w:r>
      <w:r>
        <w:rPr>
          <w:rFonts w:hint="eastAsia" w:ascii="宋体" w:hAnsi="宋体" w:eastAsia="宋体" w:cs="宋体"/>
          <w:b/>
          <w:bCs/>
          <w:color w:val="auto"/>
          <w:sz w:val="30"/>
          <w:szCs w:val="30"/>
          <w:highlight w:val="none"/>
        </w:rPr>
        <w:tab/>
      </w:r>
      <w:r>
        <w:rPr>
          <w:rFonts w:hint="eastAsia" w:ascii="宋体" w:hAnsi="宋体" w:eastAsia="宋体" w:cs="宋体"/>
          <w:b/>
          <w:bCs/>
          <w:color w:val="auto"/>
          <w:sz w:val="30"/>
          <w:szCs w:val="30"/>
          <w:highlight w:val="none"/>
        </w:rPr>
        <w:t>四川铁道职业学院</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供应商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签订日期 ：202</w:t>
      </w:r>
      <w:r>
        <w:rPr>
          <w:rFonts w:hint="eastAsia" w:ascii="宋体" w:hAnsi="宋体" w:eastAsia="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月</w:t>
      </w:r>
    </w:p>
    <w:p>
      <w:pPr>
        <w:wordWrap/>
        <w:topLinePunct w:val="0"/>
        <w:bidi w:val="0"/>
        <w:textAlignment w:val="auto"/>
        <w:rPr>
          <w:rFonts w:hint="eastAsia" w:ascii="宋体" w:hAnsi="宋体" w:eastAsia="宋体" w:cs="宋体"/>
          <w:color w:val="auto"/>
          <w:sz w:val="28"/>
          <w:szCs w:val="28"/>
          <w:highlight w:val="none"/>
        </w:rPr>
      </w:pPr>
    </w:p>
    <w:p>
      <w:pPr>
        <w:wordWrap/>
        <w:topLinePunct w:val="0"/>
        <w:bidi w:val="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8"/>
          <w:szCs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甲方：四川铁道职业学院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签订地点：四川省成都市郫都区安德街道彭温路399号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根据《中华人民共和国政府采购法》《中华人民共和国民法典》及本采购项目的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比选文件</w:t>
      </w:r>
      <w:r>
        <w:rPr>
          <w:rFonts w:hint="eastAsia" w:ascii="宋体" w:hAnsi="宋体" w:eastAsia="宋体" w:cs="宋体"/>
          <w:color w:val="auto"/>
          <w:sz w:val="24"/>
          <w:szCs w:val="24"/>
          <w:highlight w:val="none"/>
        </w:rPr>
        <w:t>》、乙方的《响应文件》《成交通知书》，甲、乙双方同意签订本合同。本项目的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文件、响应文件、《成交通知书》等均为本合同不可分割的部分。双方同意共同遵守如下条款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w:t>
      </w:r>
      <w:r>
        <w:rPr>
          <w:rFonts w:hint="eastAsia" w:ascii="宋体" w:hAnsi="宋体" w:eastAsia="宋体" w:cs="宋体"/>
          <w:b/>
          <w:bCs/>
          <w:color w:val="auto"/>
          <w:sz w:val="24"/>
          <w:szCs w:val="24"/>
          <w:highlight w:val="none"/>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需监理的项目主要有：安德校区食堂改造项目概算225万元，改造面积约685平方米。既有建筑改造为厨房、蔬菜加工间、肉类加工间、主食库、副食库、备餐间、收碗间、更衣间等食堂后厨用房。以及形成300个餐位的就餐区、自助取餐区等功能性区域。动车考培基地建设配套项目概算340万元，修建简易钢结构用房，建筑面积约1025平方米，含考评室、视频指挥室、驾驶适应性测评室、虚拟仿真室等。提供驾驶培训、模拟驾驶考核等考试培训服务。内江校区3、4号学生宿舍概算120万元，依据相关房屋鉴定报告，对学校内江校区建筑面积约6195平方米的建筑主体结构进行加固维修处理。运动场看台改造预算20.9万元，基层打磨约1200平方米看台地面，用丙烯酸地坪漆修补地面约1200平方米，安装看台座位1456个。</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422" w:firstLineChars="200"/>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二、合同期限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以本合同签订之日起至项目审核结算完毕。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422" w:firstLineChars="200"/>
        <w:textAlignment w:val="auto"/>
        <w:rPr>
          <w:rFonts w:hint="eastAsia" w:ascii="宋体" w:hAnsi="宋体" w:eastAsia="宋体" w:cs="宋体"/>
          <w:b/>
          <w:bCs/>
          <w:color w:val="auto"/>
          <w:spacing w:val="0"/>
          <w:sz w:val="21"/>
          <w:szCs w:val="21"/>
          <w:lang w:val="en-US" w:eastAsia="zh-CN"/>
        </w:rPr>
      </w:pPr>
      <w:r>
        <w:rPr>
          <w:rFonts w:hint="eastAsia" w:ascii="宋体" w:hAnsi="宋体" w:eastAsia="宋体" w:cs="宋体"/>
          <w:b/>
          <w:bCs/>
          <w:color w:val="auto"/>
          <w:spacing w:val="0"/>
          <w:sz w:val="21"/>
          <w:szCs w:val="21"/>
          <w:lang w:val="en-US" w:eastAsia="zh-CN"/>
        </w:rPr>
        <w:t>三、甲方的权利和义务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（一）甲方的权利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1.甲方有选定工程承包人，以及与其订立合同的权利。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2.甲方有对工程规模、设计标准、规划设计、生产工艺设计和设计使用功能要求的认定权，以及对工程设计变更的审批权。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3.乙方调换总监理工程师须事先经甲方同意。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4.甲方有权要求乙方提交监理工作月报及监理业务范围内的专项报告。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5.当甲方发现乙方员不按监理合同履行监理职责，或与承包人串通给甲方或工程造成损失的，甲方有权要求乙方更换乙方员，直到终止合同并要求乙方承担相应的赔偿责任或连带赔偿责任。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（二）甲方的义务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1.甲方应当为监理工作提供外部条件。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2.甲方应当在双方约定的时间内免费向乙方提供与工程有关的为监理工作所需要的工程资料。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3.甲方应当在约定的时间内就乙方书面提交并要求作出决定的一切事宜作出书面决定。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4.甲方应当授权一名熟悉工程情况、能在规定时间内做出决定的常驻代表，负责与乙方联系。更换常驻代表，要提前通知乙方。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5.甲方应当将授予乙方的监理权利，以及乙方主要成员的职能分工、监理权限及时书面通知已选定的承包合同的承包人，并在与第三人签订的合同中予以明确。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6.甲方应免费向乙方提供办公场地。</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rightChars="0" w:firstLine="422" w:firstLineChars="200"/>
        <w:textAlignment w:val="auto"/>
        <w:rPr>
          <w:rFonts w:hint="eastAsia" w:ascii="宋体" w:hAnsi="宋体" w:eastAsia="宋体" w:cs="宋体"/>
          <w:b/>
          <w:bCs/>
          <w:color w:val="auto"/>
          <w:spacing w:val="0"/>
          <w:sz w:val="21"/>
          <w:szCs w:val="21"/>
          <w:lang w:val="en-US" w:eastAsia="zh-CN"/>
        </w:rPr>
      </w:pPr>
      <w:r>
        <w:rPr>
          <w:rFonts w:hint="eastAsia" w:ascii="宋体" w:hAnsi="宋体" w:eastAsia="宋体" w:cs="宋体"/>
          <w:b/>
          <w:bCs/>
          <w:color w:val="auto"/>
          <w:spacing w:val="0"/>
          <w:sz w:val="21"/>
          <w:szCs w:val="21"/>
          <w:lang w:val="en-US" w:eastAsia="zh-CN"/>
        </w:rPr>
        <w:t>四、</w:t>
      </w:r>
      <w:r>
        <w:rPr>
          <w:rFonts w:hint="eastAsia" w:ascii="宋体" w:hAnsi="宋体" w:eastAsia="宋体" w:cs="宋体"/>
          <w:b/>
          <w:bCs/>
          <w:color w:val="auto"/>
          <w:spacing w:val="0"/>
          <w:sz w:val="21"/>
          <w:szCs w:val="21"/>
          <w:lang w:eastAsia="zh-CN"/>
        </w:rPr>
        <w:t>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（一）乙方的权利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乙方在甲方委托的工程范围内，享有以下权利：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1.对工程建设有关事项包括工程规模、设计标准、规划设计、生产工艺设计和使用功能要求，向甲方的建议权。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工程设计中的技术问题，按照安全和优化的原则，向设计人提出建议；如果拟提出的建议可能会提高工程造价，或延长工期，应当事先征得甲方的同意。当发现工程设计不符合国家颁布的建设工程质量标准或设计合同约定的质量标准时，乙方应当书面报告甲方并要求设计人更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3.审批工程施工组织设计和技术方案，按照保质量、保工期和降低成本的原则，向承包人提出建议，并向甲方提出书面报告。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4.主持工程建设有关协作单位的组织协调，重要协调事项应当事先向甲方报告。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5.征得甲方同意，乙方有权发布开工令、停工令、复工令，但应当事先向甲方报告。如在紧急情况下未能事先报告时，则应在24小时内向甲方作出书面报告。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7.工程施工进度的检查、监督权，以及工程实际竣工日期提前或超过工程施工合同规定的竣工期限的签认权。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乙方在甲方授权下，可对任何承包人合同规定的义务提出变更。如果由此严重影响了工程费用或质量、或进度，则这种变更须经甲方事先批准。在紧急情况下未能事先报甲方批准时，乙方所做的变更也应尽快通知甲方。在监理过程中如发现工程承包人人员工作不力，监理机构可要求承包人调换有关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在委托的工程范围内，甲方或承包人对对方的任何意见和要求（包括索赔要求），均必须首先向监理机构提出，由监理机构研究处置意见，再同双方协商确定。当甲方和承包人发生争议时，监理机构应根据自己的职能，以独立的身份判断，公正地进行调解。当双方的争议由政府建设行政主管部门调解或仲裁机关仲裁时，应当提供作证的事实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（二）乙方的义务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按合同约定派出监理工作需要的监理机构及乙方人员，向甲方报送委派的总监理工程师及其监理机构主要成员名单、监理规划，完成监理合同中约定的监理工程范围内的监理业务。在履行合同义务期间，应按合同约定定期向甲方报告监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2.乙方在履行本合同的义务期间，应认真、勤奋地工作，为甲方提供与其水平相适应的咨询意见，公正维护各方面的合法权益。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3.乙方使用甲方提供的设施和物品属甲方的财产。在监理工作完成或中止时，应将其设施和剩余的物品按合同约定的时间和方式移交给甲方。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4.在合同期内或合同终止后，未征得有关方同意，不得泄露与本工程、本合同业务有关的保密资料。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五、人员要求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1.甲方授权  （电话：）作为常驻代表负责与乙方联系。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2.乙方在总监理工程师领导下，配置能胜任相应监理任务的监理小组。乙方的总监理工程师为： ，注册号： ，电话    ；土建专业监理工程师代表为： ，注册证号： ，电话    ；安装监理工程师代表为： ，注册号： ，电话     ；监理员： ，证件号： ，电话。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3.派驻到工程所在地履行监理服务的主要人员应与响应文件附表中报送的人员名单及人数一致，且签订合同前，将响应文件中承诺的监理机构人员证书递交于业主进行压证，若未提交，视同违约。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4.监理机构人员须常驻现场，工程施工期间，总监理工程师每月留守现场不少于15天，其它专业监理工程师和监理员须全勤。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422" w:firstLineChars="200"/>
        <w:textAlignment w:val="auto"/>
        <w:rPr>
          <w:rFonts w:hint="eastAsia" w:ascii="宋体" w:hAnsi="宋体" w:eastAsia="宋体" w:cs="宋体"/>
          <w:b/>
          <w:bCs/>
          <w:color w:val="auto"/>
          <w:spacing w:val="0"/>
          <w:sz w:val="21"/>
          <w:szCs w:val="21"/>
          <w:lang w:eastAsia="zh-CN"/>
        </w:rPr>
      </w:pPr>
      <w:r>
        <w:rPr>
          <w:rFonts w:hint="eastAsia" w:ascii="宋体" w:hAnsi="宋体" w:eastAsia="宋体" w:cs="宋体"/>
          <w:b/>
          <w:bCs/>
          <w:color w:val="auto"/>
          <w:spacing w:val="0"/>
          <w:sz w:val="21"/>
          <w:szCs w:val="21"/>
          <w:lang w:eastAsia="zh-CN"/>
        </w:rPr>
        <w:t>六</w:t>
      </w:r>
      <w:r>
        <w:rPr>
          <w:rFonts w:hint="eastAsia" w:ascii="宋体" w:hAnsi="宋体" w:eastAsia="宋体" w:cs="宋体"/>
          <w:b/>
          <w:bCs/>
          <w:color w:val="auto"/>
          <w:spacing w:val="0"/>
          <w:sz w:val="21"/>
          <w:szCs w:val="21"/>
        </w:rPr>
        <w:t>、监理服务费用及支付方式</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420" w:firstLineChars="200"/>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（一）</w:t>
      </w:r>
      <w:r>
        <w:rPr>
          <w:rFonts w:hint="eastAsia" w:ascii="宋体" w:hAnsi="宋体" w:eastAsia="宋体" w:cs="宋体"/>
          <w:color w:val="auto"/>
          <w:spacing w:val="0"/>
          <w:sz w:val="21"/>
          <w:szCs w:val="21"/>
        </w:rPr>
        <w:t>项目监理服务费用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1.签约合同价   元（大写：￥   ）（含税）。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2.附加工作监理服务费、额外工作监理费和1个月的延期监理费，由乙方自行综合考虑，均包括在监理服务费用中，不再额外计取。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委托中标单位开展本年度除安德校区食堂改建项目、内江校区学生宿舍加固维修、运动场看台改造、动车考培基地建设项目以外的其他项目的监理工作，可参照发改价格〔2007〕670号文收费标准，同比例下浮收取监理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如：业主委托额外开展造价为50万的项目的监理工作时，额外支付的监理费为50*3.3%*(投标价/23.2947)计算监理费（单位为万元）。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（二）监理服务费支付方式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1.签订合同后，7个工作日内拨付暂定监理费用的30%。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2.各子项目竣工后，拨付监理费50%。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3.剩余合同价款20%待所有子项目工程审核结算后7个工作日内支付。</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422" w:firstLineChars="200"/>
        <w:textAlignment w:val="auto"/>
        <w:rPr>
          <w:rFonts w:hint="eastAsia" w:ascii="宋体" w:hAnsi="宋体" w:eastAsia="宋体" w:cs="宋体"/>
          <w:b/>
          <w:bCs/>
          <w:color w:val="auto"/>
          <w:spacing w:val="0"/>
          <w:sz w:val="21"/>
          <w:szCs w:val="21"/>
          <w:lang w:eastAsia="zh-CN"/>
        </w:rPr>
      </w:pPr>
      <w:r>
        <w:rPr>
          <w:rFonts w:hint="eastAsia" w:ascii="宋体" w:hAnsi="宋体" w:eastAsia="宋体" w:cs="宋体"/>
          <w:b/>
          <w:bCs/>
          <w:color w:val="auto"/>
          <w:spacing w:val="0"/>
          <w:sz w:val="21"/>
          <w:szCs w:val="21"/>
          <w:lang w:eastAsia="zh-CN"/>
        </w:rPr>
        <w:t>七</w:t>
      </w:r>
      <w:r>
        <w:rPr>
          <w:rFonts w:hint="eastAsia" w:ascii="宋体" w:hAnsi="宋体" w:eastAsia="宋体" w:cs="宋体"/>
          <w:b/>
          <w:bCs/>
          <w:color w:val="auto"/>
          <w:spacing w:val="0"/>
          <w:sz w:val="21"/>
          <w:szCs w:val="21"/>
        </w:rPr>
        <w:t>、知识产权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乙方应保证所提供服务的整体或其任何一部分均不会侵犯任何第三方的专利权、商标权、著作权或商业秘密。否则，如因知识产权而引起法律和经济纠纷，由乙方承担所有相关责任和由此给甲方造成的损失。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422" w:firstLineChars="200"/>
        <w:textAlignment w:val="auto"/>
        <w:rPr>
          <w:rFonts w:hint="eastAsia" w:ascii="宋体" w:hAnsi="宋体" w:eastAsia="宋体" w:cs="宋体"/>
          <w:b/>
          <w:bCs/>
          <w:color w:val="auto"/>
          <w:spacing w:val="0"/>
          <w:sz w:val="21"/>
          <w:szCs w:val="21"/>
          <w:lang w:eastAsia="zh-CN"/>
        </w:rPr>
      </w:pPr>
      <w:r>
        <w:rPr>
          <w:rFonts w:hint="eastAsia" w:ascii="宋体" w:hAnsi="宋体" w:eastAsia="宋体" w:cs="宋体"/>
          <w:b/>
          <w:bCs/>
          <w:color w:val="auto"/>
          <w:spacing w:val="0"/>
          <w:sz w:val="21"/>
          <w:szCs w:val="21"/>
          <w:lang w:eastAsia="zh-CN"/>
        </w:rPr>
        <w:t>八</w:t>
      </w:r>
      <w:r>
        <w:rPr>
          <w:rFonts w:hint="eastAsia" w:ascii="宋体" w:hAnsi="宋体" w:eastAsia="宋体" w:cs="宋体"/>
          <w:b/>
          <w:bCs/>
          <w:color w:val="auto"/>
          <w:spacing w:val="0"/>
          <w:sz w:val="21"/>
          <w:szCs w:val="21"/>
        </w:rPr>
        <w:t>、无产权瑕疵条款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乙方保证所提供的服务的所有权完全属于乙方且无任何抵押、查封等产权瑕疵。如有产权瑕疵的，视为乙方违约。乙方应负担由此而产生的一切损失。</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422" w:firstLineChars="200"/>
        <w:textAlignment w:val="auto"/>
        <w:rPr>
          <w:rFonts w:hint="eastAsia" w:ascii="宋体" w:hAnsi="宋体" w:eastAsia="宋体" w:cs="宋体"/>
          <w:b/>
          <w:bCs/>
          <w:color w:val="auto"/>
          <w:spacing w:val="0"/>
          <w:sz w:val="21"/>
          <w:szCs w:val="21"/>
          <w:lang w:eastAsia="zh-CN"/>
        </w:rPr>
      </w:pPr>
      <w:r>
        <w:rPr>
          <w:rFonts w:hint="eastAsia" w:ascii="宋体" w:hAnsi="宋体" w:eastAsia="宋体" w:cs="宋体"/>
          <w:b/>
          <w:bCs/>
          <w:color w:val="auto"/>
          <w:spacing w:val="0"/>
          <w:sz w:val="21"/>
          <w:szCs w:val="21"/>
          <w:lang w:eastAsia="zh-CN"/>
        </w:rPr>
        <w:t>九</w:t>
      </w:r>
      <w:r>
        <w:rPr>
          <w:rFonts w:hint="eastAsia" w:ascii="宋体" w:hAnsi="宋体" w:eastAsia="宋体" w:cs="宋体"/>
          <w:b/>
          <w:bCs/>
          <w:color w:val="auto"/>
          <w:spacing w:val="0"/>
          <w:sz w:val="21"/>
          <w:szCs w:val="21"/>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1.甲乙双方必须遵守本合同并执行合同中的各项规定，保证本合同的正常履行。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3.总监理工程师、专业监理工程师、监理员必须与响应性文件中提供的一致，乙方未经甲方和行政主管部门批准不能变更或变相变更相应人员，否则视为违约。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4.施工期间，总监理工程师每月驻现场少于15天，每少1天支付违约金￥1000元；其它专业监理工程师未全勤（经甲方同意除外），每少1人次/天支付违约金￥200元。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擅自更换总监理工程师由乙方向甲方支付违约金￥10000元/人次；擅自更换专业监理工程师、监理员由乙方向甲方支付违约金￥2000元/人次。若甲方认为乙方委派的项目班子成员不称职，有权要求更换。乙方每更换1人次，甲方有权收取乙方违约金￥5000元且甲方可直接从监理服务费中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6.现场实行监理工作例会制度，总监理工程师、专业监理工程师、监理员等相关人员不得迟到，若迟到，甲方有权收取乙方违约金￥200元/人次且甲方可直接从监理服务费中扣除。</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422" w:firstLineChars="200"/>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十、不可抗力事件处理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1.在合同有效期内，任何一方因不可抗力事件导致不能履行本合同，则合同履行期可延长，其延长期与不可抗力影响期相同。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2.不可抗力事件发生后，遭遇不可抗力的一方应立即通知对方，并寄送有关权威机构出具的证明。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3.不可抗力事件延续30天以上的，双方应通过友好协商，确定是否继续履行合同。</w:t>
      </w:r>
    </w:p>
    <w:p>
      <w:pPr>
        <w:keepNext w:val="0"/>
        <w:keepLines w:val="0"/>
        <w:pageBreakBefore w:val="0"/>
        <w:widowControl w:val="0"/>
        <w:tabs>
          <w:tab w:val="center" w:pos="4152"/>
        </w:tabs>
        <w:kinsoku/>
        <w:wordWrap/>
        <w:overflowPunct/>
        <w:topLinePunct w:val="0"/>
        <w:autoSpaceDE/>
        <w:autoSpaceDN/>
        <w:bidi w:val="0"/>
        <w:adjustRightInd/>
        <w:snapToGrid/>
        <w:spacing w:beforeAutospacing="0" w:afterAutospacing="0" w:line="240" w:lineRule="auto"/>
        <w:ind w:left="0" w:right="0" w:firstLine="422" w:firstLineChars="200"/>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十</w:t>
      </w:r>
      <w:r>
        <w:rPr>
          <w:rFonts w:hint="eastAsia" w:ascii="宋体" w:hAnsi="宋体" w:eastAsia="宋体" w:cs="宋体"/>
          <w:b/>
          <w:bCs/>
          <w:color w:val="auto"/>
          <w:spacing w:val="0"/>
          <w:sz w:val="21"/>
          <w:szCs w:val="21"/>
          <w:lang w:eastAsia="zh-CN"/>
        </w:rPr>
        <w:t>一</w:t>
      </w:r>
      <w:r>
        <w:rPr>
          <w:rFonts w:hint="eastAsia" w:ascii="宋体" w:hAnsi="宋体" w:eastAsia="宋体" w:cs="宋体"/>
          <w:b/>
          <w:bCs/>
          <w:color w:val="auto"/>
          <w:spacing w:val="0"/>
          <w:sz w:val="21"/>
          <w:szCs w:val="21"/>
        </w:rPr>
        <w:t>、解决合同纠纷的方式</w:t>
      </w:r>
      <w:r>
        <w:rPr>
          <w:rFonts w:hint="eastAsia" w:ascii="宋体" w:hAnsi="宋体" w:eastAsia="宋体" w:cs="宋体"/>
          <w:b/>
          <w:bCs/>
          <w:color w:val="auto"/>
          <w:spacing w:val="0"/>
          <w:sz w:val="21"/>
          <w:szCs w:val="21"/>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1.在执行本合同中发生的或与本合同有关的争端，双方应通过友好协商解决，经协商在30天内不能达成协议时，应提交成都仲裁委员会仲裁。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2.仲裁裁决应为最终决定，并对双方具有约束力。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3.除另有裁决外，仲裁费应由败诉方负担。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4.在仲裁期间，除正在进行仲裁部分外，合同其他部分继续执行。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422" w:firstLineChars="200"/>
        <w:textAlignment w:val="auto"/>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十</w:t>
      </w:r>
      <w:r>
        <w:rPr>
          <w:rFonts w:hint="eastAsia" w:ascii="宋体" w:hAnsi="宋体" w:eastAsia="宋体" w:cs="宋体"/>
          <w:b/>
          <w:bCs/>
          <w:color w:val="auto"/>
          <w:spacing w:val="0"/>
          <w:sz w:val="21"/>
          <w:szCs w:val="21"/>
          <w:lang w:eastAsia="zh-CN"/>
        </w:rPr>
        <w:t>二</w:t>
      </w:r>
      <w:r>
        <w:rPr>
          <w:rFonts w:hint="eastAsia" w:ascii="宋体" w:hAnsi="宋体" w:eastAsia="宋体" w:cs="宋体"/>
          <w:b/>
          <w:bCs/>
          <w:color w:val="auto"/>
          <w:spacing w:val="0"/>
          <w:sz w:val="21"/>
          <w:szCs w:val="21"/>
        </w:rPr>
        <w:t>、合同生效及其他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1.本合同经双方法定代表人（负责人）或授权委托代理人签字并加盖单位公章后生效。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2.合同执行中涉及采购资金和采购内容修改或补充的，须经政府采购监管部门审批，并签书面补充协议报政府采购监督管理部门备案，方可作为主合同不可分割的一部分。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pacing w:val="0"/>
          <w:sz w:val="21"/>
          <w:szCs w:val="21"/>
          <w:highlight w:val="none"/>
          <w:lang w:val="en-US" w:eastAsia="zh-CN"/>
        </w:rPr>
        <w:t>本合同一式陆份，甲方持肆份，</w:t>
      </w:r>
      <w:r>
        <w:rPr>
          <w:rFonts w:hint="eastAsia" w:ascii="宋体" w:hAnsi="宋体" w:eastAsia="宋体" w:cs="宋体"/>
          <w:color w:val="auto"/>
          <w:spacing w:val="0"/>
          <w:sz w:val="21"/>
          <w:szCs w:val="21"/>
          <w:lang w:val="en-US" w:eastAsia="zh-CN"/>
        </w:rPr>
        <w:t>乙方持贰份</w:t>
      </w:r>
      <w:r>
        <w:rPr>
          <w:rFonts w:hint="eastAsia" w:ascii="宋体" w:hAnsi="宋体" w:eastAsia="宋体" w:cs="宋体"/>
          <w:color w:val="auto"/>
          <w:sz w:val="24"/>
          <w:szCs w:val="24"/>
          <w:highlight w:val="none"/>
          <w:lang w:val="en-US" w:eastAsia="zh-CN"/>
        </w:rPr>
        <w:t>，自双方签章之日起生效，每份效力相同。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 xml:space="preserve">                                          </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0"/>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4260" w:type="dxa"/>
            <w:tcBorders>
              <w:tl2br w:val="nil"/>
              <w:tr2bl w:val="nil"/>
            </w:tcBorders>
            <w:vAlign w:val="center"/>
          </w:tcPr>
          <w:p>
            <w:pPr>
              <w:pStyle w:val="9"/>
              <w:keepNext w:val="0"/>
              <w:keepLines w:val="0"/>
              <w:pageBreakBefore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pacing w:val="0"/>
                <w:sz w:val="21"/>
                <w:szCs w:val="21"/>
                <w:lang w:val="en-US" w:eastAsia="zh-CN"/>
              </w:rPr>
              <w:t>甲方：四川铁道职业学院（公章）</w:t>
            </w:r>
          </w:p>
        </w:tc>
        <w:tc>
          <w:tcPr>
            <w:tcW w:w="4261" w:type="dxa"/>
            <w:tcBorders>
              <w:tl2br w:val="nil"/>
              <w:tr2bl w:val="nil"/>
            </w:tcBorders>
            <w:vAlign w:val="center"/>
          </w:tcPr>
          <w:p>
            <w:pPr>
              <w:pStyle w:val="9"/>
              <w:keepNext w:val="0"/>
              <w:keepLines w:val="0"/>
              <w:pageBreakBefore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pacing w:val="0"/>
                <w:sz w:val="21"/>
                <w:szCs w:val="21"/>
                <w:lang w:val="en-US" w:eastAsia="zh-CN"/>
              </w:rPr>
              <w:t>乙方：（公章）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4260" w:type="dxa"/>
            <w:tcBorders>
              <w:tl2br w:val="nil"/>
              <w:tr2bl w:val="nil"/>
            </w:tcBorders>
            <w:vAlign w:val="center"/>
          </w:tcPr>
          <w:p>
            <w:pPr>
              <w:pStyle w:val="9"/>
              <w:keepNext w:val="0"/>
              <w:keepLines w:val="0"/>
              <w:pageBreakBefore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pacing w:val="0"/>
                <w:sz w:val="21"/>
                <w:szCs w:val="21"/>
                <w:lang w:val="en-US" w:eastAsia="zh-CN"/>
              </w:rPr>
              <w:t>法定代表人：</w:t>
            </w:r>
          </w:p>
        </w:tc>
        <w:tc>
          <w:tcPr>
            <w:tcW w:w="4261" w:type="dxa"/>
            <w:tcBorders>
              <w:tl2br w:val="nil"/>
              <w:tr2bl w:val="nil"/>
            </w:tcBorders>
            <w:vAlign w:val="center"/>
          </w:tcPr>
          <w:p>
            <w:pPr>
              <w:pStyle w:val="9"/>
              <w:keepNext w:val="0"/>
              <w:keepLines w:val="0"/>
              <w:pageBreakBefore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pacing w:val="0"/>
                <w:sz w:val="21"/>
                <w:szCs w:val="21"/>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4260" w:type="dxa"/>
            <w:tcBorders>
              <w:tl2br w:val="nil"/>
              <w:tr2bl w:val="nil"/>
            </w:tcBorders>
            <w:vAlign w:val="center"/>
          </w:tcPr>
          <w:p>
            <w:pPr>
              <w:pStyle w:val="9"/>
              <w:keepNext w:val="0"/>
              <w:keepLines w:val="0"/>
              <w:pageBreakBefore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pacing w:val="0"/>
                <w:sz w:val="21"/>
                <w:szCs w:val="21"/>
                <w:lang w:val="en-US" w:eastAsia="zh-CN"/>
              </w:rPr>
              <w:t>委托代理人：</w:t>
            </w:r>
          </w:p>
        </w:tc>
        <w:tc>
          <w:tcPr>
            <w:tcW w:w="42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pacing w:val="0"/>
                <w:sz w:val="21"/>
                <w:szCs w:val="21"/>
                <w:lang w:val="en-US"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exact"/>
        </w:trPr>
        <w:tc>
          <w:tcPr>
            <w:tcW w:w="4260" w:type="dxa"/>
            <w:tcBorders>
              <w:tl2br w:val="nil"/>
              <w:tr2bl w:val="nil"/>
            </w:tcBorders>
            <w:vAlign w:val="center"/>
          </w:tcPr>
          <w:p>
            <w:pPr>
              <w:pStyle w:val="9"/>
              <w:keepNext w:val="0"/>
              <w:keepLines w:val="0"/>
              <w:pageBreakBefore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pacing w:val="0"/>
                <w:sz w:val="21"/>
                <w:szCs w:val="21"/>
                <w:lang w:val="en-US" w:eastAsia="zh-CN"/>
              </w:rPr>
              <w:t>2024年  月  日</w:t>
            </w:r>
          </w:p>
        </w:tc>
        <w:tc>
          <w:tcPr>
            <w:tcW w:w="4261" w:type="dxa"/>
            <w:tcBorders>
              <w:tl2br w:val="nil"/>
              <w:tr2bl w:val="nil"/>
            </w:tcBorders>
            <w:vAlign w:val="center"/>
          </w:tcPr>
          <w:p>
            <w:pPr>
              <w:pStyle w:val="9"/>
              <w:keepNext w:val="0"/>
              <w:keepLines w:val="0"/>
              <w:pageBreakBefore w:val="0"/>
              <w:kinsoku/>
              <w:wordWrap/>
              <w:overflowPunct/>
              <w:topLinePunct w:val="0"/>
              <w:autoSpaceDE/>
              <w:autoSpaceDN/>
              <w:bidi w:val="0"/>
              <w:adjustRightInd/>
              <w:spacing w:after="0" w:line="240" w:lineRule="auto"/>
              <w:jc w:val="both"/>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pacing w:val="0"/>
                <w:sz w:val="21"/>
                <w:szCs w:val="21"/>
                <w:lang w:val="en-US" w:eastAsia="zh-CN"/>
              </w:rPr>
              <w:t>2024年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5E74B9EE"/>
    <w:multiLevelType w:val="singleLevel"/>
    <w:tmpl w:val="5E74B9EE"/>
    <w:lvl w:ilvl="0" w:tentative="0">
      <w:start w:val="1"/>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B635A"/>
    <w:rsid w:val="00DC351D"/>
    <w:rsid w:val="00E04EA3"/>
    <w:rsid w:val="00E15BF1"/>
    <w:rsid w:val="00E250D7"/>
    <w:rsid w:val="00E85DDD"/>
    <w:rsid w:val="00EB0361"/>
    <w:rsid w:val="00EB5667"/>
    <w:rsid w:val="00EC7A71"/>
    <w:rsid w:val="00F34F45"/>
    <w:rsid w:val="00F53C48"/>
    <w:rsid w:val="00F934B2"/>
    <w:rsid w:val="00FD4A63"/>
    <w:rsid w:val="013303CB"/>
    <w:rsid w:val="02810D87"/>
    <w:rsid w:val="02BA54DB"/>
    <w:rsid w:val="02EA4873"/>
    <w:rsid w:val="031A72A8"/>
    <w:rsid w:val="03404493"/>
    <w:rsid w:val="039C0A0A"/>
    <w:rsid w:val="03CE5F43"/>
    <w:rsid w:val="049A5E25"/>
    <w:rsid w:val="05373674"/>
    <w:rsid w:val="05597A8E"/>
    <w:rsid w:val="06641F4F"/>
    <w:rsid w:val="0781507A"/>
    <w:rsid w:val="07BD3408"/>
    <w:rsid w:val="07F55C66"/>
    <w:rsid w:val="087921F6"/>
    <w:rsid w:val="08E6728C"/>
    <w:rsid w:val="09104908"/>
    <w:rsid w:val="09500754"/>
    <w:rsid w:val="09526CCE"/>
    <w:rsid w:val="09657974"/>
    <w:rsid w:val="09B611D2"/>
    <w:rsid w:val="09DD7133"/>
    <w:rsid w:val="0A751832"/>
    <w:rsid w:val="0AE129A7"/>
    <w:rsid w:val="0B5331D2"/>
    <w:rsid w:val="0B8B296C"/>
    <w:rsid w:val="0BD52F0E"/>
    <w:rsid w:val="0CDF4D1D"/>
    <w:rsid w:val="0D156991"/>
    <w:rsid w:val="0DC878B8"/>
    <w:rsid w:val="0E0B47ED"/>
    <w:rsid w:val="0E945864"/>
    <w:rsid w:val="0F462A38"/>
    <w:rsid w:val="0F632FF9"/>
    <w:rsid w:val="0FAB0EE6"/>
    <w:rsid w:val="1032785A"/>
    <w:rsid w:val="12152FD8"/>
    <w:rsid w:val="12635AA8"/>
    <w:rsid w:val="12ED5CBA"/>
    <w:rsid w:val="1379754E"/>
    <w:rsid w:val="13ED5F7E"/>
    <w:rsid w:val="14F766D0"/>
    <w:rsid w:val="15415E49"/>
    <w:rsid w:val="161E1652"/>
    <w:rsid w:val="16CF5E02"/>
    <w:rsid w:val="176127D3"/>
    <w:rsid w:val="18075128"/>
    <w:rsid w:val="1A3D2A44"/>
    <w:rsid w:val="1A417B90"/>
    <w:rsid w:val="1A642D06"/>
    <w:rsid w:val="1B5508A0"/>
    <w:rsid w:val="1B9273FE"/>
    <w:rsid w:val="1BF84678"/>
    <w:rsid w:val="1D75282A"/>
    <w:rsid w:val="1DCA10D2"/>
    <w:rsid w:val="1E7352AD"/>
    <w:rsid w:val="1EAA20B1"/>
    <w:rsid w:val="1EF8161D"/>
    <w:rsid w:val="1F3F5AEF"/>
    <w:rsid w:val="1F811C64"/>
    <w:rsid w:val="20062169"/>
    <w:rsid w:val="20EA3839"/>
    <w:rsid w:val="21132D8F"/>
    <w:rsid w:val="212B632B"/>
    <w:rsid w:val="21D50045"/>
    <w:rsid w:val="21D963B6"/>
    <w:rsid w:val="21E549B1"/>
    <w:rsid w:val="22022E9B"/>
    <w:rsid w:val="22E30F16"/>
    <w:rsid w:val="23525A07"/>
    <w:rsid w:val="23563407"/>
    <w:rsid w:val="23BC14BC"/>
    <w:rsid w:val="23C46957"/>
    <w:rsid w:val="244E0945"/>
    <w:rsid w:val="251F61A7"/>
    <w:rsid w:val="255D7BA8"/>
    <w:rsid w:val="25F9028E"/>
    <w:rsid w:val="2624159B"/>
    <w:rsid w:val="27D61735"/>
    <w:rsid w:val="283A32F8"/>
    <w:rsid w:val="28991438"/>
    <w:rsid w:val="2936274F"/>
    <w:rsid w:val="29F424DA"/>
    <w:rsid w:val="2A6308E4"/>
    <w:rsid w:val="2AB215E1"/>
    <w:rsid w:val="2C5A7AC4"/>
    <w:rsid w:val="2CE9283B"/>
    <w:rsid w:val="2D2F4913"/>
    <w:rsid w:val="2D57160A"/>
    <w:rsid w:val="2E47276C"/>
    <w:rsid w:val="2F4800A8"/>
    <w:rsid w:val="2FA51FF8"/>
    <w:rsid w:val="302C0287"/>
    <w:rsid w:val="3075353C"/>
    <w:rsid w:val="30843362"/>
    <w:rsid w:val="315471D8"/>
    <w:rsid w:val="33774A8E"/>
    <w:rsid w:val="33D1136B"/>
    <w:rsid w:val="33FC5905"/>
    <w:rsid w:val="34BA3DC1"/>
    <w:rsid w:val="34BC2E77"/>
    <w:rsid w:val="357C4F4F"/>
    <w:rsid w:val="358E5B24"/>
    <w:rsid w:val="35E514C7"/>
    <w:rsid w:val="36201D7F"/>
    <w:rsid w:val="362A2931"/>
    <w:rsid w:val="368816D2"/>
    <w:rsid w:val="36D861B6"/>
    <w:rsid w:val="374C0952"/>
    <w:rsid w:val="37BF5665"/>
    <w:rsid w:val="387C7014"/>
    <w:rsid w:val="3891486E"/>
    <w:rsid w:val="38A87E0A"/>
    <w:rsid w:val="39775E88"/>
    <w:rsid w:val="397F6DBC"/>
    <w:rsid w:val="3A57182E"/>
    <w:rsid w:val="3A993EAE"/>
    <w:rsid w:val="3ACE22AB"/>
    <w:rsid w:val="3AE66A84"/>
    <w:rsid w:val="3B003F2D"/>
    <w:rsid w:val="3B245E6D"/>
    <w:rsid w:val="3C2A189E"/>
    <w:rsid w:val="3CD76F0F"/>
    <w:rsid w:val="4048214A"/>
    <w:rsid w:val="40D5722F"/>
    <w:rsid w:val="414334DE"/>
    <w:rsid w:val="423D5A66"/>
    <w:rsid w:val="425132C0"/>
    <w:rsid w:val="429531AD"/>
    <w:rsid w:val="42B0448A"/>
    <w:rsid w:val="42D02437"/>
    <w:rsid w:val="42D31F27"/>
    <w:rsid w:val="43000F6E"/>
    <w:rsid w:val="43C81360"/>
    <w:rsid w:val="44290050"/>
    <w:rsid w:val="446A056C"/>
    <w:rsid w:val="44FE43E9"/>
    <w:rsid w:val="453C51A9"/>
    <w:rsid w:val="46333408"/>
    <w:rsid w:val="477E30E1"/>
    <w:rsid w:val="47F6649C"/>
    <w:rsid w:val="48D013E2"/>
    <w:rsid w:val="490D0C92"/>
    <w:rsid w:val="49900B72"/>
    <w:rsid w:val="49B44860"/>
    <w:rsid w:val="49CC55DE"/>
    <w:rsid w:val="4A170E76"/>
    <w:rsid w:val="4A39529F"/>
    <w:rsid w:val="4A4E6A63"/>
    <w:rsid w:val="4ADC2FC7"/>
    <w:rsid w:val="4B1120BD"/>
    <w:rsid w:val="4C30416B"/>
    <w:rsid w:val="4CF3569F"/>
    <w:rsid w:val="4D265A75"/>
    <w:rsid w:val="4DD46FDF"/>
    <w:rsid w:val="4DF74D1B"/>
    <w:rsid w:val="4F6C1739"/>
    <w:rsid w:val="4FDC241B"/>
    <w:rsid w:val="503E6C32"/>
    <w:rsid w:val="5261632C"/>
    <w:rsid w:val="52630BD1"/>
    <w:rsid w:val="53E57E13"/>
    <w:rsid w:val="54A61249"/>
    <w:rsid w:val="54B10643"/>
    <w:rsid w:val="55067F3A"/>
    <w:rsid w:val="551B5E9C"/>
    <w:rsid w:val="55D32512"/>
    <w:rsid w:val="55F10BEA"/>
    <w:rsid w:val="57160F93"/>
    <w:rsid w:val="57F329F7"/>
    <w:rsid w:val="58022C3B"/>
    <w:rsid w:val="58501BF8"/>
    <w:rsid w:val="5994098E"/>
    <w:rsid w:val="5AC11CB2"/>
    <w:rsid w:val="5BD415B9"/>
    <w:rsid w:val="5E124648"/>
    <w:rsid w:val="5E9345EC"/>
    <w:rsid w:val="610C4B2A"/>
    <w:rsid w:val="613B6943"/>
    <w:rsid w:val="616C1F97"/>
    <w:rsid w:val="618648DC"/>
    <w:rsid w:val="61B52ACC"/>
    <w:rsid w:val="62BB2364"/>
    <w:rsid w:val="62CA0DEA"/>
    <w:rsid w:val="6317781A"/>
    <w:rsid w:val="63BF40D6"/>
    <w:rsid w:val="64542A70"/>
    <w:rsid w:val="648B6D5C"/>
    <w:rsid w:val="64DD4218"/>
    <w:rsid w:val="6554084E"/>
    <w:rsid w:val="6572372B"/>
    <w:rsid w:val="66083B12"/>
    <w:rsid w:val="6639016F"/>
    <w:rsid w:val="668D2269"/>
    <w:rsid w:val="66F9345B"/>
    <w:rsid w:val="671E7365"/>
    <w:rsid w:val="678B21A1"/>
    <w:rsid w:val="679C66B0"/>
    <w:rsid w:val="68554B6D"/>
    <w:rsid w:val="69020CEC"/>
    <w:rsid w:val="6AD5702B"/>
    <w:rsid w:val="6B87372B"/>
    <w:rsid w:val="6C765DD8"/>
    <w:rsid w:val="6CB56076"/>
    <w:rsid w:val="6CB843E9"/>
    <w:rsid w:val="6CE556DE"/>
    <w:rsid w:val="6D231231"/>
    <w:rsid w:val="6EE25A7E"/>
    <w:rsid w:val="6F671833"/>
    <w:rsid w:val="6FDF3411"/>
    <w:rsid w:val="708E13B0"/>
    <w:rsid w:val="7169267E"/>
    <w:rsid w:val="71F907B3"/>
    <w:rsid w:val="73CC2623"/>
    <w:rsid w:val="73D80876"/>
    <w:rsid w:val="73E27DCB"/>
    <w:rsid w:val="745F0A3D"/>
    <w:rsid w:val="75994A53"/>
    <w:rsid w:val="760F2C9B"/>
    <w:rsid w:val="765E4A8E"/>
    <w:rsid w:val="77A86F03"/>
    <w:rsid w:val="780E2ADE"/>
    <w:rsid w:val="7B001352"/>
    <w:rsid w:val="7B9F061D"/>
    <w:rsid w:val="7CEC65E1"/>
    <w:rsid w:val="7D080444"/>
    <w:rsid w:val="7D2E53CE"/>
    <w:rsid w:val="7DB163E5"/>
    <w:rsid w:val="7E16455B"/>
    <w:rsid w:val="7F2D5F40"/>
    <w:rsid w:val="7F2F6AE8"/>
    <w:rsid w:val="7F6230B6"/>
    <w:rsid w:val="7FA950DF"/>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2"/>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3"/>
    <w:autoRedefine/>
    <w:qFormat/>
    <w:uiPriority w:val="0"/>
    <w:pPr>
      <w:keepNext/>
      <w:keepLines/>
      <w:spacing w:before="120" w:after="120"/>
      <w:outlineLvl w:val="2"/>
    </w:pPr>
    <w:rPr>
      <w:rFonts w:eastAsia="仿宋"/>
      <w:b/>
      <w:sz w:val="3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99"/>
    <w:pPr>
      <w:tabs>
        <w:tab w:val="left" w:pos="1500"/>
      </w:tabs>
      <w:ind w:left="-180"/>
    </w:pPr>
    <w:rPr>
      <w:rFonts w:ascii="宋体" w:hAnsi="宋体"/>
      <w:sz w:val="24"/>
    </w:rPr>
  </w:style>
  <w:style w:type="paragraph" w:styleId="6">
    <w:name w:val="table of authorities"/>
    <w:basedOn w:val="1"/>
    <w:next w:val="1"/>
    <w:autoRedefine/>
    <w:qFormat/>
    <w:uiPriority w:val="99"/>
    <w:pPr>
      <w:ind w:left="420" w:leftChars="200"/>
    </w:pPr>
  </w:style>
  <w:style w:type="paragraph" w:styleId="7">
    <w:name w:val="Normal Indent"/>
    <w:basedOn w:val="1"/>
    <w:autoRedefine/>
    <w:qFormat/>
    <w:uiPriority w:val="0"/>
    <w:pPr>
      <w:ind w:firstLine="420" w:firstLineChars="200"/>
    </w:pPr>
  </w:style>
  <w:style w:type="paragraph" w:styleId="8">
    <w:name w:val="annotation text"/>
    <w:basedOn w:val="1"/>
    <w:link w:val="35"/>
    <w:autoRedefine/>
    <w:qFormat/>
    <w:uiPriority w:val="0"/>
    <w:pPr>
      <w:jc w:val="left"/>
    </w:pPr>
  </w:style>
  <w:style w:type="paragraph" w:styleId="9">
    <w:name w:val="Body Text"/>
    <w:basedOn w:val="1"/>
    <w:next w:val="10"/>
    <w:link w:val="34"/>
    <w:autoRedefine/>
    <w:qFormat/>
    <w:uiPriority w:val="0"/>
    <w:pPr>
      <w:spacing w:after="120"/>
    </w:pPr>
  </w:style>
  <w:style w:type="paragraph" w:styleId="10">
    <w:name w:val="Body Text 2"/>
    <w:basedOn w:val="1"/>
    <w:autoRedefine/>
    <w:qFormat/>
    <w:uiPriority w:val="0"/>
    <w:pPr>
      <w:spacing w:line="480" w:lineRule="auto"/>
    </w:pPr>
    <w:rPr>
      <w:rFonts w:ascii="Times New Roman"/>
    </w:rPr>
  </w:style>
  <w:style w:type="paragraph" w:styleId="11">
    <w:name w:val="Plain Text"/>
    <w:basedOn w:val="1"/>
    <w:next w:val="7"/>
    <w:autoRedefine/>
    <w:qFormat/>
    <w:uiPriority w:val="0"/>
    <w:rPr>
      <w:rFonts w:hAnsi="Courier New"/>
    </w:rPr>
  </w:style>
  <w:style w:type="paragraph" w:styleId="12">
    <w:name w:val="Date"/>
    <w:basedOn w:val="1"/>
    <w:next w:val="1"/>
    <w:link w:val="49"/>
    <w:autoRedefine/>
    <w:semiHidden/>
    <w:unhideWhenUsed/>
    <w:qFormat/>
    <w:uiPriority w:val="99"/>
    <w:pPr>
      <w:ind w:left="100" w:leftChars="2500"/>
    </w:pPr>
  </w:style>
  <w:style w:type="paragraph" w:styleId="13">
    <w:name w:val="Body Text Indent 2"/>
    <w:basedOn w:val="1"/>
    <w:link w:val="36"/>
    <w:autoRedefine/>
    <w:qFormat/>
    <w:uiPriority w:val="0"/>
    <w:pPr>
      <w:ind w:firstLine="630"/>
    </w:pPr>
    <w:rPr>
      <w:sz w:val="32"/>
    </w:rPr>
  </w:style>
  <w:style w:type="paragraph" w:styleId="14">
    <w:name w:val="Balloon Text"/>
    <w:basedOn w:val="1"/>
    <w:link w:val="52"/>
    <w:autoRedefine/>
    <w:semiHidden/>
    <w:unhideWhenUsed/>
    <w:qFormat/>
    <w:uiPriority w:val="99"/>
    <w:rPr>
      <w:sz w:val="18"/>
      <w:szCs w:val="18"/>
    </w:rPr>
  </w:style>
  <w:style w:type="paragraph" w:styleId="15">
    <w:name w:val="footer"/>
    <w:basedOn w:val="1"/>
    <w:link w:val="30"/>
    <w:autoRedefine/>
    <w:unhideWhenUsed/>
    <w:qFormat/>
    <w:uiPriority w:val="0"/>
    <w:pPr>
      <w:tabs>
        <w:tab w:val="center" w:pos="4153"/>
        <w:tab w:val="right" w:pos="8306"/>
      </w:tabs>
      <w:snapToGrid w:val="0"/>
      <w:jc w:val="left"/>
    </w:pPr>
    <w:rPr>
      <w:sz w:val="18"/>
      <w:szCs w:val="18"/>
    </w:rPr>
  </w:style>
  <w:style w:type="paragraph" w:styleId="16">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37"/>
    <w:autoRedefine/>
    <w:qFormat/>
    <w:uiPriority w:val="0"/>
    <w:rPr>
      <w:sz w:val="28"/>
    </w:rPr>
  </w:style>
  <w:style w:type="paragraph" w:styleId="19">
    <w:name w:val="annotation subject"/>
    <w:basedOn w:val="8"/>
    <w:next w:val="8"/>
    <w:link w:val="50"/>
    <w:autoRedefine/>
    <w:semiHidden/>
    <w:unhideWhenUsed/>
    <w:qFormat/>
    <w:uiPriority w:val="99"/>
    <w:rPr>
      <w:b/>
      <w:bCs/>
    </w:rPr>
  </w:style>
  <w:style w:type="paragraph" w:styleId="20">
    <w:name w:val="Body Text First Indent"/>
    <w:basedOn w:val="9"/>
    <w:link w:val="38"/>
    <w:autoRedefine/>
    <w:qFormat/>
    <w:uiPriority w:val="0"/>
    <w:pPr>
      <w:spacing w:line="360" w:lineRule="auto"/>
      <w:ind w:firstLine="420"/>
    </w:pPr>
    <w:rPr>
      <w:rFonts w:ascii="宋体" w:hAnsi="宋体"/>
      <w:sz w:val="24"/>
    </w:rPr>
  </w:style>
  <w:style w:type="table" w:styleId="22">
    <w:name w:val="Table Grid"/>
    <w:basedOn w:val="21"/>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annotation reference"/>
    <w:basedOn w:val="23"/>
    <w:autoRedefine/>
    <w:semiHidden/>
    <w:unhideWhenUsed/>
    <w:qFormat/>
    <w:uiPriority w:val="99"/>
    <w:rPr>
      <w:sz w:val="21"/>
      <w:szCs w:val="21"/>
    </w:rPr>
  </w:style>
  <w:style w:type="paragraph" w:customStyle="1" w:styleId="26">
    <w:name w:val="标题 5（有编号）（绿盟科技）"/>
    <w:basedOn w:val="27"/>
    <w:next w:val="28"/>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8">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9">
    <w:name w:val="页眉 字符"/>
    <w:basedOn w:val="23"/>
    <w:link w:val="16"/>
    <w:autoRedefine/>
    <w:qFormat/>
    <w:uiPriority w:val="99"/>
    <w:rPr>
      <w:sz w:val="18"/>
      <w:szCs w:val="18"/>
    </w:rPr>
  </w:style>
  <w:style w:type="character" w:customStyle="1" w:styleId="30">
    <w:name w:val="页脚 字符"/>
    <w:basedOn w:val="23"/>
    <w:link w:val="15"/>
    <w:autoRedefine/>
    <w:qFormat/>
    <w:uiPriority w:val="99"/>
    <w:rPr>
      <w:sz w:val="18"/>
      <w:szCs w:val="18"/>
    </w:rPr>
  </w:style>
  <w:style w:type="character" w:customStyle="1" w:styleId="31">
    <w:name w:val="标题 1 字符"/>
    <w:basedOn w:val="23"/>
    <w:link w:val="3"/>
    <w:autoRedefine/>
    <w:qFormat/>
    <w:uiPriority w:val="99"/>
    <w:rPr>
      <w:b/>
      <w:bCs/>
      <w:kern w:val="44"/>
      <w:sz w:val="44"/>
      <w:szCs w:val="44"/>
    </w:rPr>
  </w:style>
  <w:style w:type="character" w:customStyle="1" w:styleId="32">
    <w:name w:val="标题 2 字符"/>
    <w:basedOn w:val="23"/>
    <w:link w:val="4"/>
    <w:autoRedefine/>
    <w:qFormat/>
    <w:uiPriority w:val="0"/>
    <w:rPr>
      <w:rFonts w:ascii="Arial" w:hAnsi="Arial" w:eastAsia="仿宋"/>
      <w:b/>
      <w:bCs/>
      <w:sz w:val="28"/>
      <w:szCs w:val="32"/>
    </w:rPr>
  </w:style>
  <w:style w:type="character" w:customStyle="1" w:styleId="33">
    <w:name w:val="标题 3 字符"/>
    <w:basedOn w:val="23"/>
    <w:link w:val="5"/>
    <w:autoRedefine/>
    <w:qFormat/>
    <w:uiPriority w:val="0"/>
    <w:rPr>
      <w:rFonts w:eastAsia="仿宋"/>
      <w:b/>
      <w:sz w:val="30"/>
    </w:rPr>
  </w:style>
  <w:style w:type="character" w:customStyle="1" w:styleId="34">
    <w:name w:val="正文文本 字符"/>
    <w:basedOn w:val="23"/>
    <w:link w:val="9"/>
    <w:autoRedefine/>
    <w:qFormat/>
    <w:uiPriority w:val="0"/>
  </w:style>
  <w:style w:type="character" w:customStyle="1" w:styleId="35">
    <w:name w:val="批注文字 字符"/>
    <w:basedOn w:val="23"/>
    <w:link w:val="8"/>
    <w:autoRedefine/>
    <w:qFormat/>
    <w:uiPriority w:val="0"/>
  </w:style>
  <w:style w:type="character" w:customStyle="1" w:styleId="36">
    <w:name w:val="正文文本缩进 2 字符"/>
    <w:basedOn w:val="23"/>
    <w:link w:val="13"/>
    <w:autoRedefine/>
    <w:qFormat/>
    <w:uiPriority w:val="0"/>
    <w:rPr>
      <w:sz w:val="32"/>
    </w:rPr>
  </w:style>
  <w:style w:type="character" w:customStyle="1" w:styleId="37">
    <w:name w:val="副标题 字符"/>
    <w:basedOn w:val="23"/>
    <w:link w:val="18"/>
    <w:autoRedefine/>
    <w:qFormat/>
    <w:uiPriority w:val="0"/>
    <w:rPr>
      <w:sz w:val="28"/>
    </w:rPr>
  </w:style>
  <w:style w:type="character" w:customStyle="1" w:styleId="38">
    <w:name w:val="正文首行缩进 字符"/>
    <w:basedOn w:val="34"/>
    <w:link w:val="20"/>
    <w:autoRedefine/>
    <w:qFormat/>
    <w:uiPriority w:val="0"/>
    <w:rPr>
      <w:rFonts w:ascii="宋体" w:hAnsi="宋体"/>
      <w:sz w:val="24"/>
    </w:rPr>
  </w:style>
  <w:style w:type="paragraph" w:customStyle="1" w:styleId="39">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1">
    <w:name w:val="表格"/>
    <w:basedOn w:val="1"/>
    <w:autoRedefine/>
    <w:qFormat/>
    <w:uiPriority w:val="0"/>
    <w:pPr>
      <w:spacing w:line="400" w:lineRule="exact"/>
    </w:pPr>
    <w:rPr>
      <w:sz w:val="24"/>
      <w:szCs w:val="24"/>
    </w:rPr>
  </w:style>
  <w:style w:type="paragraph" w:customStyle="1" w:styleId="42">
    <w:name w:val="样式 首行缩进:  2 字符"/>
    <w:basedOn w:val="1"/>
    <w:autoRedefine/>
    <w:qFormat/>
    <w:uiPriority w:val="0"/>
    <w:pPr>
      <w:spacing w:line="400" w:lineRule="exact"/>
      <w:ind w:firstLine="200" w:firstLineChars="200"/>
    </w:pPr>
    <w:rPr>
      <w:rFonts w:cs="宋体"/>
      <w:sz w:val="24"/>
    </w:rPr>
  </w:style>
  <w:style w:type="paragraph" w:customStyle="1" w:styleId="43">
    <w:name w:val="列出段落1"/>
    <w:basedOn w:val="1"/>
    <w:autoRedefine/>
    <w:qFormat/>
    <w:uiPriority w:val="0"/>
    <w:pPr>
      <w:ind w:firstLine="420" w:firstLineChars="200"/>
    </w:pPr>
    <w:rPr>
      <w:szCs w:val="24"/>
    </w:rPr>
  </w:style>
  <w:style w:type="paragraph" w:customStyle="1" w:styleId="44">
    <w:name w:val="WPSOffice手动目录 1"/>
    <w:autoRedefine/>
    <w:qFormat/>
    <w:uiPriority w:val="0"/>
    <w:rPr>
      <w:rFonts w:ascii="Times New Roman" w:hAnsi="Times New Roman" w:eastAsia="宋体" w:cs="Times New Roman"/>
      <w:lang w:val="en-US" w:eastAsia="zh-CN" w:bidi="ar-SA"/>
    </w:rPr>
  </w:style>
  <w:style w:type="paragraph" w:customStyle="1" w:styleId="45">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6">
    <w:name w:val="font31"/>
    <w:autoRedefine/>
    <w:qFormat/>
    <w:uiPriority w:val="0"/>
    <w:rPr>
      <w:rFonts w:hint="eastAsia" w:ascii="宋体" w:hAnsi="宋体" w:eastAsia="宋体" w:cs="宋体"/>
      <w:b/>
      <w:color w:val="000000"/>
      <w:sz w:val="22"/>
      <w:szCs w:val="22"/>
      <w:u w:val="none"/>
    </w:rPr>
  </w:style>
  <w:style w:type="character" w:customStyle="1" w:styleId="47">
    <w:name w:val="font21"/>
    <w:autoRedefine/>
    <w:qFormat/>
    <w:uiPriority w:val="0"/>
    <w:rPr>
      <w:rFonts w:hint="eastAsia" w:ascii="宋体" w:hAnsi="宋体" w:eastAsia="宋体" w:cs="宋体"/>
      <w:color w:val="000000"/>
      <w:sz w:val="20"/>
      <w:szCs w:val="20"/>
      <w:u w:val="none"/>
    </w:rPr>
  </w:style>
  <w:style w:type="character" w:customStyle="1" w:styleId="48">
    <w:name w:val="font81"/>
    <w:basedOn w:val="23"/>
    <w:autoRedefine/>
    <w:qFormat/>
    <w:uiPriority w:val="0"/>
    <w:rPr>
      <w:rFonts w:hint="eastAsia" w:ascii="宋体" w:hAnsi="宋体" w:eastAsia="宋体" w:cs="宋体"/>
      <w:b/>
      <w:color w:val="000000"/>
      <w:sz w:val="22"/>
      <w:szCs w:val="22"/>
      <w:u w:val="none"/>
    </w:rPr>
  </w:style>
  <w:style w:type="character" w:customStyle="1" w:styleId="49">
    <w:name w:val="日期 字符"/>
    <w:basedOn w:val="23"/>
    <w:link w:val="12"/>
    <w:autoRedefine/>
    <w:semiHidden/>
    <w:qFormat/>
    <w:uiPriority w:val="99"/>
    <w:rPr>
      <w:kern w:val="2"/>
      <w:sz w:val="21"/>
      <w:szCs w:val="22"/>
    </w:rPr>
  </w:style>
  <w:style w:type="character" w:customStyle="1" w:styleId="50">
    <w:name w:val="批注主题 字符"/>
    <w:basedOn w:val="35"/>
    <w:link w:val="19"/>
    <w:autoRedefine/>
    <w:semiHidden/>
    <w:qFormat/>
    <w:uiPriority w:val="99"/>
    <w:rPr>
      <w:b/>
      <w:bCs/>
      <w:kern w:val="2"/>
      <w:sz w:val="21"/>
      <w:szCs w:val="22"/>
    </w:rPr>
  </w:style>
  <w:style w:type="paragraph" w:customStyle="1" w:styleId="51">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2">
    <w:name w:val="批注框文本 字符"/>
    <w:basedOn w:val="23"/>
    <w:link w:val="14"/>
    <w:autoRedefine/>
    <w:semiHidden/>
    <w:qFormat/>
    <w:uiPriority w:val="99"/>
    <w:rPr>
      <w:kern w:val="2"/>
      <w:sz w:val="18"/>
      <w:szCs w:val="18"/>
    </w:rPr>
  </w:style>
  <w:style w:type="character" w:customStyle="1" w:styleId="53">
    <w:name w:val="font11"/>
    <w:basedOn w:val="23"/>
    <w:autoRedefine/>
    <w:qFormat/>
    <w:uiPriority w:val="0"/>
    <w:rPr>
      <w:rFonts w:hint="eastAsia" w:ascii="宋体" w:hAnsi="宋体" w:eastAsia="宋体" w:cs="宋体"/>
      <w:color w:val="000000"/>
      <w:sz w:val="21"/>
      <w:szCs w:val="21"/>
      <w:u w:val="none"/>
    </w:rPr>
  </w:style>
  <w:style w:type="paragraph" w:styleId="54">
    <w:name w:val="No Spacing"/>
    <w:basedOn w:val="1"/>
    <w:autoRedefine/>
    <w:unhideWhenUsed/>
    <w:qFormat/>
    <w:uiPriority w:val="0"/>
    <w:pPr>
      <w:widowControl w:val="0"/>
      <w:jc w:val="both"/>
    </w:pPr>
    <w:rPr>
      <w:rFonts w:ascii="Calibri" w:hAnsi="Calibri"/>
      <w:kern w:val="2"/>
      <w:sz w:val="21"/>
      <w:lang w:val="en-US" w:eastAsia="zh-CN" w:bidi="ar-SA"/>
    </w:rPr>
  </w:style>
  <w:style w:type="paragraph" w:styleId="55">
    <w:name w:val="List Paragraph"/>
    <w:basedOn w:val="1"/>
    <w:autoRedefine/>
    <w:qFormat/>
    <w:uiPriority w:val="99"/>
    <w:pPr>
      <w:ind w:firstLine="420" w:firstLineChars="200"/>
    </w:pPr>
  </w:style>
  <w:style w:type="paragraph" w:customStyle="1" w:styleId="56">
    <w:name w:val="正文文本缩进1"/>
    <w:basedOn w:val="1"/>
    <w:autoRedefine/>
    <w:qFormat/>
    <w:uiPriority w:val="0"/>
    <w:pPr>
      <w:ind w:firstLine="630"/>
    </w:pPr>
    <w:rPr>
      <w:rFonts w:ascii="Times New Roman"/>
      <w:kern w:val="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39</Pages>
  <Words>19119</Words>
  <Characters>20091</Characters>
  <Lines>130</Lines>
  <Paragraphs>36</Paragraphs>
  <TotalTime>26</TotalTime>
  <ScaleCrop>false</ScaleCrop>
  <LinksUpToDate>false</LinksUpToDate>
  <CharactersWithSpaces>20868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2024-04-17T06:43:43Z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30BF2A90811447149A0BC9FD83390EB0_13</vt:lpwstr>
  </property>
</Properties>
</file>